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31BC4">
      <w:pPr>
        <w:widowControl/>
        <w:spacing w:line="600" w:lineRule="exact"/>
        <w:jc w:val="left"/>
        <w:rPr>
          <w:rFonts w:hint="eastAsia" w:ascii="黑体" w:hAnsi="黑体" w:eastAsia="黑体"/>
          <w:color w:val="000000"/>
          <w:sz w:val="32"/>
          <w:szCs w:val="32"/>
        </w:rPr>
      </w:pPr>
      <w:r>
        <w:rPr>
          <w:rFonts w:hint="eastAsia" w:ascii="黑体" w:hAnsi="黑体" w:eastAsia="黑体"/>
          <w:color w:val="000000"/>
          <w:sz w:val="32"/>
          <w:szCs w:val="32"/>
        </w:rPr>
        <w:t>附件1</w:t>
      </w:r>
    </w:p>
    <w:p w14:paraId="5F435765">
      <w:pPr>
        <w:spacing w:line="600" w:lineRule="exact"/>
        <w:jc w:val="center"/>
        <w:rPr>
          <w:rFonts w:hint="eastAsia" w:ascii="方正小标宋简体" w:eastAsia="方正小标宋简体"/>
          <w:bCs/>
          <w:color w:val="000000"/>
          <w:spacing w:val="18"/>
          <w:sz w:val="36"/>
          <w:szCs w:val="36"/>
        </w:rPr>
      </w:pPr>
      <w:r>
        <w:rPr>
          <w:rFonts w:hint="eastAsia" w:ascii="方正小标宋简体" w:eastAsia="方正小标宋简体"/>
          <w:bCs/>
          <w:color w:val="000000"/>
          <w:spacing w:val="18"/>
          <w:sz w:val="36"/>
          <w:szCs w:val="36"/>
        </w:rPr>
        <w:t>2026年甘肃省普通高等学校招生</w:t>
      </w:r>
    </w:p>
    <w:p w14:paraId="6DC17D95">
      <w:pPr>
        <w:spacing w:line="600" w:lineRule="exact"/>
        <w:jc w:val="center"/>
        <w:rPr>
          <w:rFonts w:hint="eastAsia" w:ascii="方正小标宋简体" w:eastAsia="方正小标宋简体"/>
          <w:bCs/>
          <w:color w:val="000000"/>
          <w:spacing w:val="-8"/>
          <w:sz w:val="36"/>
          <w:szCs w:val="36"/>
        </w:rPr>
      </w:pPr>
      <w:r>
        <w:rPr>
          <w:rFonts w:hint="eastAsia" w:ascii="方正小标宋简体" w:eastAsia="方正小标宋简体"/>
          <w:bCs/>
          <w:color w:val="000000"/>
          <w:spacing w:val="-8"/>
          <w:sz w:val="36"/>
          <w:szCs w:val="36"/>
        </w:rPr>
        <w:t>美术与设计类专业统一考试说明</w:t>
      </w:r>
    </w:p>
    <w:p w14:paraId="483A09E0">
      <w:pPr>
        <w:spacing w:line="500" w:lineRule="exact"/>
        <w:ind w:firstLine="560" w:firstLineChars="200"/>
        <w:rPr>
          <w:rFonts w:hint="eastAsia"/>
          <w:color w:val="000000"/>
          <w:sz w:val="28"/>
          <w:szCs w:val="28"/>
        </w:rPr>
      </w:pPr>
      <w:r>
        <w:rPr>
          <w:rFonts w:hint="eastAsia"/>
          <w:color w:val="000000"/>
          <w:sz w:val="28"/>
          <w:szCs w:val="28"/>
        </w:rPr>
        <w:t xml:space="preserve"> </w:t>
      </w:r>
    </w:p>
    <w:p w14:paraId="61A3B71B">
      <w:pPr>
        <w:spacing w:line="600" w:lineRule="exact"/>
        <w:ind w:firstLine="640" w:firstLineChars="200"/>
        <w:rPr>
          <w:rFonts w:hint="eastAsia" w:ascii="黑体" w:hAnsi="黑体" w:eastAsia="黑体"/>
          <w:bCs/>
          <w:color w:val="000000"/>
          <w:sz w:val="32"/>
          <w:szCs w:val="32"/>
        </w:rPr>
      </w:pPr>
      <w:r>
        <w:rPr>
          <w:rFonts w:hint="eastAsia" w:ascii="黑体" w:hAnsi="黑体" w:eastAsia="黑体"/>
          <w:bCs/>
          <w:color w:val="000000"/>
          <w:sz w:val="32"/>
          <w:szCs w:val="32"/>
        </w:rPr>
        <w:t>一、考试性质和目的</w:t>
      </w:r>
    </w:p>
    <w:p w14:paraId="69384AB2">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甘肃省普通高等学校招生美术与设计类专业统一考试是由合格的高中毕业生和具有同等学力的考生参加的选拔性考试，是考生进入高校相关专业学习应当具备的基础技能和素质测试，旨在考查考生的造型能力、审美能力、艺术素养，其评价结果是高校相关专业招生录取的重要依据。</w:t>
      </w:r>
    </w:p>
    <w:p w14:paraId="342D900A">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说明适用于美术学、绘画、雕塑、摄影、中国画、实验艺术、跨媒体艺术、文物保护与修复、漫画、纤维艺术、艺术设计学、视觉传达设计、环境设计、产品设计、服装与服饰设计、公共艺术、工艺美术、数字媒体艺术、艺术与科技、陶瓷艺术设计、新媒体艺术、包装设计、戏剧影视美术设计、动画、影视摄影与制作、科技艺术、美术教育、珠宝首饰设计与工艺等专业。</w:t>
      </w:r>
    </w:p>
    <w:p w14:paraId="1BE1D0D3">
      <w:pPr>
        <w:numPr>
          <w:ilvl w:val="0"/>
          <w:numId w:val="1"/>
        </w:numPr>
        <w:spacing w:line="600" w:lineRule="exact"/>
        <w:ind w:firstLine="640" w:firstLineChars="200"/>
        <w:rPr>
          <w:rFonts w:hint="eastAsia" w:ascii="黑体" w:hAnsi="黑体" w:eastAsia="黑体"/>
          <w:bCs/>
          <w:color w:val="000000"/>
          <w:sz w:val="32"/>
          <w:szCs w:val="32"/>
        </w:rPr>
      </w:pPr>
      <w:r>
        <w:rPr>
          <w:rFonts w:hint="eastAsia" w:ascii="黑体" w:hAnsi="黑体" w:eastAsia="黑体"/>
          <w:bCs/>
          <w:color w:val="000000"/>
          <w:sz w:val="32"/>
          <w:szCs w:val="32"/>
        </w:rPr>
        <w:t>考试科目和分值</w:t>
      </w:r>
    </w:p>
    <w:p w14:paraId="44F9E3A2">
      <w:pPr>
        <w:spacing w:line="600" w:lineRule="exact"/>
        <w:ind w:firstLine="640" w:firstLineChars="200"/>
        <w:rPr>
          <w:rFonts w:hint="eastAsia" w:ascii="仿宋_GB2312" w:hAnsi="黑体" w:eastAsia="仿宋_GB2312"/>
          <w:bCs/>
          <w:color w:val="000000"/>
          <w:sz w:val="32"/>
          <w:szCs w:val="32"/>
        </w:rPr>
      </w:pPr>
      <w:r>
        <w:rPr>
          <w:rFonts w:hint="eastAsia" w:ascii="仿宋_GB2312" w:eastAsia="仿宋_GB2312"/>
          <w:color w:val="000000"/>
          <w:sz w:val="32"/>
          <w:szCs w:val="32"/>
        </w:rPr>
        <w:t>考试包括素描、色彩、速写（综合能力）三个科目。</w:t>
      </w:r>
    </w:p>
    <w:p w14:paraId="7E7F4CFE">
      <w:pPr>
        <w:spacing w:line="600" w:lineRule="exact"/>
        <w:ind w:firstLine="640" w:firstLineChars="200"/>
        <w:rPr>
          <w:rFonts w:hint="eastAsia" w:ascii="仿宋_GB2312" w:hAnsi="黑体" w:eastAsia="仿宋_GB2312"/>
          <w:bCs/>
          <w:color w:val="000000"/>
          <w:sz w:val="32"/>
          <w:szCs w:val="32"/>
        </w:rPr>
      </w:pPr>
      <w:r>
        <w:rPr>
          <w:rFonts w:hint="eastAsia" w:ascii="仿宋_GB2312" w:eastAsia="仿宋_GB2312"/>
          <w:color w:val="000000"/>
          <w:sz w:val="32"/>
          <w:szCs w:val="32"/>
        </w:rPr>
        <w:t>三科总分为300分，其中素描100分、色彩100分、速写（综合能力）100分。</w:t>
      </w:r>
    </w:p>
    <w:p w14:paraId="162A0BEA">
      <w:pPr>
        <w:spacing w:line="600" w:lineRule="exact"/>
        <w:ind w:firstLine="640" w:firstLineChars="200"/>
        <w:rPr>
          <w:rFonts w:hint="eastAsia" w:ascii="黑体" w:hAnsi="黑体" w:eastAsia="黑体"/>
          <w:bCs/>
          <w:color w:val="000000"/>
          <w:sz w:val="32"/>
          <w:szCs w:val="32"/>
        </w:rPr>
      </w:pPr>
      <w:r>
        <w:rPr>
          <w:rFonts w:hint="eastAsia" w:ascii="黑体" w:hAnsi="黑体" w:eastAsia="黑体"/>
          <w:bCs/>
          <w:color w:val="000000"/>
          <w:sz w:val="32"/>
          <w:szCs w:val="32"/>
        </w:rPr>
        <w:t>三、考试内容和形式</w:t>
      </w:r>
    </w:p>
    <w:p w14:paraId="6EDC062A">
      <w:pPr>
        <w:spacing w:line="600" w:lineRule="exact"/>
        <w:ind w:firstLine="640" w:firstLineChars="200"/>
        <w:rPr>
          <w:rFonts w:hint="eastAsia" w:ascii="楷体" w:hAnsi="楷体" w:eastAsia="楷体" w:cs="楷体"/>
          <w:bCs/>
          <w:color w:val="000000"/>
          <w:sz w:val="32"/>
          <w:szCs w:val="32"/>
        </w:rPr>
      </w:pPr>
      <w:r>
        <w:rPr>
          <w:rFonts w:hint="eastAsia" w:ascii="楷体" w:hAnsi="楷体" w:eastAsia="楷体" w:cs="楷体"/>
          <w:bCs/>
          <w:color w:val="000000"/>
          <w:sz w:val="32"/>
          <w:szCs w:val="32"/>
        </w:rPr>
        <w:t>（一）素描</w:t>
      </w:r>
    </w:p>
    <w:p w14:paraId="62081C3C">
      <w:pPr>
        <w:spacing w:line="600" w:lineRule="exact"/>
        <w:ind w:firstLine="643" w:firstLineChars="200"/>
        <w:rPr>
          <w:rFonts w:hint="eastAsia" w:ascii="仿宋_GB2312" w:hAnsi="黑体" w:eastAsia="仿宋_GB2312"/>
          <w:bCs/>
          <w:color w:val="000000"/>
          <w:sz w:val="32"/>
          <w:szCs w:val="32"/>
        </w:rPr>
      </w:pPr>
      <w:r>
        <w:rPr>
          <w:rFonts w:hint="eastAsia" w:ascii="仿宋_GB2312" w:eastAsia="仿宋_GB2312"/>
          <w:b/>
          <w:bCs/>
          <w:color w:val="000000"/>
          <w:sz w:val="32"/>
          <w:szCs w:val="32"/>
        </w:rPr>
        <w:t>1.考试目的：</w:t>
      </w:r>
      <w:r>
        <w:rPr>
          <w:rFonts w:hint="eastAsia" w:ascii="仿宋_GB2312" w:eastAsia="仿宋_GB2312"/>
          <w:color w:val="000000"/>
          <w:sz w:val="32"/>
          <w:szCs w:val="32"/>
        </w:rPr>
        <w:t>主要考查考生的基本造型能力，包括对形体、结构、空间、质感、构图和明暗调子等方面知识的认识、理解和表达能力。</w:t>
      </w:r>
    </w:p>
    <w:p w14:paraId="1B99A451">
      <w:pPr>
        <w:spacing w:line="60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2.考试内容：</w:t>
      </w:r>
      <w:r>
        <w:rPr>
          <w:rFonts w:hint="eastAsia" w:ascii="仿宋_GB2312" w:eastAsia="仿宋_GB2312"/>
          <w:color w:val="000000"/>
          <w:sz w:val="32"/>
          <w:szCs w:val="32"/>
        </w:rPr>
        <w:t>人物头像、石膏像、静物。</w:t>
      </w:r>
    </w:p>
    <w:p w14:paraId="6D370837">
      <w:pPr>
        <w:spacing w:line="60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3.考试形式：</w:t>
      </w:r>
      <w:r>
        <w:rPr>
          <w:rFonts w:hint="eastAsia" w:ascii="仿宋_GB2312" w:eastAsia="仿宋_GB2312"/>
          <w:color w:val="000000"/>
          <w:sz w:val="32"/>
          <w:szCs w:val="32"/>
        </w:rPr>
        <w:t>写生、根据图片资料模拟写生、默写。</w:t>
      </w:r>
    </w:p>
    <w:p w14:paraId="238C40D0">
      <w:pPr>
        <w:spacing w:line="60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4.考试工具和材料：</w:t>
      </w:r>
      <w:r>
        <w:rPr>
          <w:rFonts w:hint="eastAsia" w:ascii="仿宋_GB2312" w:eastAsia="仿宋_GB2312"/>
          <w:color w:val="000000"/>
          <w:sz w:val="32"/>
          <w:szCs w:val="32"/>
        </w:rPr>
        <w:t>试卷用纸为八开素描纸（考点提供），绘画工具为铅笔或炭笔（考生自备）。</w:t>
      </w:r>
    </w:p>
    <w:p w14:paraId="039D037C">
      <w:pPr>
        <w:spacing w:line="60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5.考试时间：</w:t>
      </w:r>
      <w:r>
        <w:rPr>
          <w:rFonts w:hint="eastAsia" w:ascii="仿宋_GB2312" w:eastAsia="仿宋_GB2312"/>
          <w:color w:val="000000"/>
          <w:sz w:val="32"/>
          <w:szCs w:val="32"/>
        </w:rPr>
        <w:t>180分钟。</w:t>
      </w:r>
    </w:p>
    <w:p w14:paraId="67FE9B2E">
      <w:pPr>
        <w:spacing w:line="60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6.考试要求：</w:t>
      </w:r>
    </w:p>
    <w:p w14:paraId="73DD4CD2">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（1）形象鲜明生动，构图、透视合理，形体、比例关系协调，解剖、结构关系正确；</w:t>
      </w:r>
    </w:p>
    <w:p w14:paraId="05CE984E">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（2）体积与空间关系表现明显，结构严谨，明暗层次清晰；</w:t>
      </w:r>
    </w:p>
    <w:p w14:paraId="1274A67E">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（3）画面整体感强，重点突出，有深入的刻画能力；</w:t>
      </w:r>
    </w:p>
    <w:p w14:paraId="7EE5A021">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（4）绘画语言富于艺术表现力。</w:t>
      </w:r>
    </w:p>
    <w:p w14:paraId="68F61898">
      <w:pPr>
        <w:spacing w:line="600" w:lineRule="exact"/>
        <w:ind w:firstLine="640" w:firstLineChars="200"/>
        <w:rPr>
          <w:rFonts w:hint="eastAsia" w:ascii="楷体" w:hAnsi="楷体" w:eastAsia="楷体"/>
          <w:bCs/>
          <w:color w:val="000000"/>
          <w:sz w:val="32"/>
          <w:szCs w:val="32"/>
        </w:rPr>
      </w:pPr>
      <w:r>
        <w:rPr>
          <w:rFonts w:hint="eastAsia" w:ascii="楷体" w:hAnsi="楷体" w:eastAsia="楷体"/>
          <w:bCs/>
          <w:color w:val="000000"/>
          <w:sz w:val="32"/>
          <w:szCs w:val="32"/>
        </w:rPr>
        <w:t>（二）色彩</w:t>
      </w:r>
    </w:p>
    <w:p w14:paraId="29D993C8">
      <w:pPr>
        <w:spacing w:line="60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1.考试目的：</w:t>
      </w:r>
      <w:r>
        <w:rPr>
          <w:rFonts w:hint="eastAsia" w:ascii="仿宋_GB2312" w:eastAsia="仿宋_GB2312"/>
          <w:color w:val="000000"/>
          <w:sz w:val="32"/>
          <w:szCs w:val="32"/>
        </w:rPr>
        <w:t>主要考查考生对色彩的理解、表现和感受能力，运用色彩塑造形体的能力，以及色彩技法运用能力和艺术语言表现能力。</w:t>
      </w:r>
    </w:p>
    <w:p w14:paraId="5F6823F1">
      <w:pPr>
        <w:spacing w:line="60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2.考试内容：</w:t>
      </w:r>
      <w:r>
        <w:rPr>
          <w:rFonts w:hint="eastAsia" w:ascii="仿宋_GB2312" w:eastAsia="仿宋_GB2312"/>
          <w:color w:val="000000"/>
          <w:sz w:val="32"/>
          <w:szCs w:val="32"/>
        </w:rPr>
        <w:t>人物头像、静物、风景、图案。</w:t>
      </w:r>
    </w:p>
    <w:p w14:paraId="7586F39B">
      <w:pPr>
        <w:spacing w:line="60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3.考试形式：</w:t>
      </w:r>
    </w:p>
    <w:p w14:paraId="7A9A5D9B">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（1）人物头像、静物、风景写生（照片模拟写生）或图案设计；</w:t>
      </w:r>
    </w:p>
    <w:p w14:paraId="23AD1332">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（2）根据文字描述进行默写；</w:t>
      </w:r>
    </w:p>
    <w:p w14:paraId="0D6F96BE">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（3）根据黑白图片画彩色绘画；</w:t>
      </w:r>
    </w:p>
    <w:p w14:paraId="01EA76C4">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（4）根据线描稿画彩色绘画。</w:t>
      </w:r>
    </w:p>
    <w:p w14:paraId="0C2E644B">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4.考试工具和材料：</w:t>
      </w:r>
      <w:r>
        <w:rPr>
          <w:rFonts w:hint="eastAsia" w:ascii="仿宋_GB2312" w:eastAsia="仿宋_GB2312"/>
          <w:color w:val="000000"/>
          <w:sz w:val="32"/>
          <w:szCs w:val="32"/>
        </w:rPr>
        <w:t>试卷用纸为八开水粉纸、水彩纸、素描纸（考点提供），绘画工具为水彩、水粉、丙烯颜料（考生自备）。</w:t>
      </w:r>
    </w:p>
    <w:p w14:paraId="132B83FB">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5.考试时间：</w:t>
      </w:r>
      <w:r>
        <w:rPr>
          <w:rFonts w:hint="eastAsia" w:ascii="仿宋_GB2312" w:eastAsia="仿宋_GB2312"/>
          <w:color w:val="000000"/>
          <w:sz w:val="32"/>
          <w:szCs w:val="32"/>
        </w:rPr>
        <w:t>180分钟。</w:t>
      </w:r>
    </w:p>
    <w:p w14:paraId="56F660E6">
      <w:pPr>
        <w:spacing w:line="58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6.考试要求：</w:t>
      </w:r>
    </w:p>
    <w:p w14:paraId="2502CCB2">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（1）构图完整，造型严谨；</w:t>
      </w:r>
    </w:p>
    <w:p w14:paraId="71647776">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（2）色调和谐，色彩丰富，色彩关系合理；</w:t>
      </w:r>
    </w:p>
    <w:p w14:paraId="39E4D1CA">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（3）塑造充分，用笔生动，技法运用得当；</w:t>
      </w:r>
    </w:p>
    <w:p w14:paraId="25295946">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（4）富于艺术表现力。</w:t>
      </w:r>
    </w:p>
    <w:p w14:paraId="301961FD">
      <w:pPr>
        <w:spacing w:line="580" w:lineRule="exact"/>
        <w:ind w:firstLine="640" w:firstLineChars="200"/>
        <w:rPr>
          <w:rFonts w:hint="eastAsia" w:ascii="楷体" w:hAnsi="楷体" w:eastAsia="楷体"/>
          <w:bCs/>
          <w:color w:val="000000"/>
          <w:sz w:val="32"/>
          <w:szCs w:val="32"/>
        </w:rPr>
      </w:pPr>
      <w:r>
        <w:rPr>
          <w:rFonts w:hint="eastAsia" w:ascii="楷体" w:hAnsi="楷体" w:eastAsia="楷体"/>
          <w:bCs/>
          <w:color w:val="000000"/>
          <w:sz w:val="32"/>
          <w:szCs w:val="32"/>
        </w:rPr>
        <w:t>（三）速写（综合能力）</w:t>
      </w:r>
    </w:p>
    <w:p w14:paraId="5040EB3A">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1.考试目的：</w:t>
      </w:r>
      <w:r>
        <w:rPr>
          <w:rFonts w:hint="eastAsia" w:ascii="仿宋_GB2312" w:eastAsia="仿宋_GB2312"/>
          <w:color w:val="000000"/>
          <w:sz w:val="32"/>
          <w:szCs w:val="32"/>
        </w:rPr>
        <w:t>主要考查考生的美术史素养、美术鉴赏能力、形象表现能力、画面组织能力、生活观察能力和艺术想象能力。</w:t>
      </w:r>
    </w:p>
    <w:p w14:paraId="466E67B0">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2.考试内容：</w:t>
      </w:r>
      <w:r>
        <w:rPr>
          <w:rFonts w:hint="eastAsia" w:ascii="仿宋_GB2312" w:eastAsia="仿宋_GB2312"/>
          <w:color w:val="000000"/>
          <w:sz w:val="32"/>
          <w:szCs w:val="32"/>
        </w:rPr>
        <w:t>结合高中美术必修课《美术鉴赏》，根据命题进行创作。</w:t>
      </w:r>
    </w:p>
    <w:p w14:paraId="7A748A8A">
      <w:pPr>
        <w:spacing w:line="58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3.考试形式：</w:t>
      </w:r>
    </w:p>
    <w:p w14:paraId="33DBBFD6">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（1）根据试卷的文字要求完成命题创作；</w:t>
      </w:r>
    </w:p>
    <w:p w14:paraId="44582D75">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（2）根据试卷所提供的图像素材，按要求完成命题创作。</w:t>
      </w:r>
    </w:p>
    <w:p w14:paraId="751C22A1">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4.考试工具和材料：</w:t>
      </w:r>
      <w:r>
        <w:rPr>
          <w:rFonts w:hint="eastAsia" w:ascii="仿宋_GB2312" w:eastAsia="仿宋_GB2312"/>
          <w:color w:val="000000"/>
          <w:sz w:val="32"/>
          <w:szCs w:val="32"/>
        </w:rPr>
        <w:t>试卷用纸为八开素描纸（考点提供），绘画工具及材料为铅笔、炭笔、钢笔、签字笔、马克笔、蜡笔、彩色铅笔、水彩（考生自备）。</w:t>
      </w:r>
    </w:p>
    <w:p w14:paraId="60A8E2F4">
      <w:pPr>
        <w:spacing w:line="58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5.考试时间：</w:t>
      </w:r>
      <w:r>
        <w:rPr>
          <w:rFonts w:hint="eastAsia" w:ascii="仿宋_GB2312" w:eastAsia="仿宋_GB2312"/>
          <w:color w:val="000000"/>
          <w:sz w:val="32"/>
          <w:szCs w:val="32"/>
        </w:rPr>
        <w:t>120分钟。</w:t>
      </w:r>
    </w:p>
    <w:p w14:paraId="09C733BD">
      <w:pPr>
        <w:spacing w:line="58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6.考试要求：</w:t>
      </w:r>
    </w:p>
    <w:p w14:paraId="5406FEDB">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（1）根据命题要求，回应和解决命题所涉及到的问题；</w:t>
      </w:r>
    </w:p>
    <w:p w14:paraId="3F7F8078">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（2）美术史知识点把握清晰，理解准确，艺术和人文素养扎实；</w:t>
      </w:r>
    </w:p>
    <w:p w14:paraId="6064D314">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（3）构图和形象组织合理，造型生动，技法表现得当；</w:t>
      </w:r>
    </w:p>
    <w:p w14:paraId="1639EBFE">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（4）对生活敏锐的观察能力，丰富的艺术想象力。</w:t>
      </w:r>
    </w:p>
    <w:p w14:paraId="54E1F417">
      <w:pPr>
        <w:spacing w:line="580" w:lineRule="exact"/>
        <w:ind w:firstLine="640" w:firstLineChars="200"/>
        <w:rPr>
          <w:rFonts w:hint="eastAsia" w:ascii="黑体" w:hAnsi="黑体" w:eastAsia="黑体"/>
          <w:bCs/>
          <w:color w:val="000000"/>
          <w:sz w:val="32"/>
          <w:szCs w:val="32"/>
        </w:rPr>
      </w:pPr>
      <w:r>
        <w:rPr>
          <w:rFonts w:hint="eastAsia" w:ascii="黑体" w:hAnsi="黑体" w:eastAsia="黑体"/>
          <w:bCs/>
          <w:color w:val="000000"/>
          <w:sz w:val="32"/>
          <w:szCs w:val="32"/>
        </w:rPr>
        <w:t>四、考查范围</w:t>
      </w:r>
    </w:p>
    <w:p w14:paraId="46F6B712">
      <w:pPr>
        <w:spacing w:line="580" w:lineRule="exact"/>
        <w:ind w:firstLine="640" w:firstLineChars="200"/>
        <w:rPr>
          <w:rFonts w:hint="eastAsia" w:ascii="仿宋_GB2312" w:hAnsi="黑体" w:eastAsia="仿宋_GB2312"/>
          <w:bCs/>
          <w:color w:val="000000"/>
          <w:sz w:val="32"/>
          <w:szCs w:val="32"/>
        </w:rPr>
      </w:pPr>
      <w:r>
        <w:rPr>
          <w:rFonts w:hint="eastAsia" w:ascii="仿宋_GB2312" w:eastAsia="仿宋_GB2312"/>
          <w:color w:val="000000"/>
          <w:sz w:val="32"/>
          <w:szCs w:val="32"/>
        </w:rPr>
        <w:t>素描科目的考察范围一般为静物、人物头像、石膏像，可扩展到人物胸像。</w:t>
      </w:r>
    </w:p>
    <w:p w14:paraId="303A53FA">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色彩科目的考查范围一般为静物、风景、人物头像，原则上不扩展到人物带手半身像。</w:t>
      </w:r>
    </w:p>
    <w:p w14:paraId="2AAB291D">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速写（综合能力）科目的命题内容来源于高中美术必修课《美术鉴赏》。</w:t>
      </w:r>
    </w:p>
    <w:p w14:paraId="06887F00">
      <w:pPr>
        <w:spacing w:line="580" w:lineRule="exact"/>
        <w:ind w:firstLine="640" w:firstLineChars="200"/>
        <w:rPr>
          <w:rFonts w:hint="eastAsia" w:ascii="仿宋_GB2312" w:eastAsia="仿宋_GB2312"/>
          <w:color w:val="000000"/>
          <w:sz w:val="32"/>
          <w:szCs w:val="32"/>
        </w:rPr>
      </w:pPr>
      <w:r>
        <w:rPr>
          <w:rFonts w:hint="eastAsia" w:ascii="黑体" w:hAnsi="黑体" w:eastAsia="黑体"/>
          <w:bCs/>
          <w:color w:val="000000"/>
          <w:sz w:val="32"/>
          <w:szCs w:val="32"/>
        </w:rPr>
        <w:t>五、试题示例</w:t>
      </w:r>
    </w:p>
    <w:p w14:paraId="54E8C038">
      <w:pPr>
        <w:spacing w:line="580" w:lineRule="exact"/>
        <w:ind w:firstLine="640" w:firstLineChars="200"/>
        <w:rPr>
          <w:rFonts w:hint="eastAsia" w:ascii="仿宋_GB2312" w:eastAsia="仿宋_GB2312"/>
          <w:color w:val="000000"/>
          <w:sz w:val="32"/>
          <w:szCs w:val="32"/>
        </w:rPr>
      </w:pPr>
      <w:r>
        <w:rPr>
          <w:rFonts w:hint="eastAsia" w:ascii="楷体" w:hAnsi="楷体" w:eastAsia="楷体"/>
          <w:bCs/>
          <w:color w:val="000000"/>
          <w:sz w:val="32"/>
          <w:szCs w:val="32"/>
        </w:rPr>
        <w:t>（一）素描</w:t>
      </w:r>
    </w:p>
    <w:p w14:paraId="7337D3B1">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示例1：</w:t>
      </w:r>
    </w:p>
    <w:p w14:paraId="14E22684">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提供一张中年男子彩色（或黑白）头像照片，根据照片模拟写生素描人物像。</w:t>
      </w:r>
    </w:p>
    <w:p w14:paraId="3C9996FA">
      <w:pPr>
        <w:spacing w:line="60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示例2：</w:t>
      </w:r>
    </w:p>
    <w:p w14:paraId="5C6866DC">
      <w:pPr>
        <w:spacing w:line="600" w:lineRule="exact"/>
        <w:ind w:firstLine="640" w:firstLineChars="200"/>
        <w:rPr>
          <w:rFonts w:hint="eastAsia" w:ascii="仿宋_GB2312" w:eastAsia="仿宋_GB2312"/>
          <w:b/>
          <w:bCs/>
          <w:color w:val="000000"/>
          <w:sz w:val="32"/>
          <w:szCs w:val="32"/>
        </w:rPr>
      </w:pPr>
      <w:r>
        <w:rPr>
          <w:rFonts w:hint="eastAsia" w:ascii="仿宋_GB2312" w:eastAsia="仿宋_GB2312"/>
          <w:color w:val="000000"/>
          <w:sz w:val="32"/>
          <w:szCs w:val="32"/>
        </w:rPr>
        <w:t>提供一张黑白石膏人物头像图片，根据图片模拟写生素描石膏人物头像。</w:t>
      </w:r>
    </w:p>
    <w:p w14:paraId="29297649">
      <w:pPr>
        <w:spacing w:line="60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示例3：</w:t>
      </w:r>
    </w:p>
    <w:p w14:paraId="28779E98">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提供一张女青年头像剪影轮廓图片，根据人体结构的规律进行推想，将剪影轮廓内的部分补充为具有明暗色调和体积空间的素描。</w:t>
      </w:r>
    </w:p>
    <w:p w14:paraId="1085E9A7">
      <w:pPr>
        <w:spacing w:line="60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示例4：</w:t>
      </w:r>
    </w:p>
    <w:p w14:paraId="17CC1C75">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根据一张男青年四分之一侧面头像彩色照片，推想其正面形象的样貌，画出这位男青年的正面头像素描。</w:t>
      </w:r>
    </w:p>
    <w:p w14:paraId="47BC73AD">
      <w:pPr>
        <w:spacing w:line="60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示例5：</w:t>
      </w:r>
    </w:p>
    <w:p w14:paraId="0532826C">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根据一组彩色（或黑白）静物图片中的物品（1个透明玻璃高脚杯、3个西红柿、1个白瓷盘子、1个红酒瓶、1个不锈钢烧水壶、1颗大白菜、1个土红色陶罐、7颗红枣），从中选择5种以上，并根据需要添加衬布，自由组合画出一幅素描静物画。</w:t>
      </w:r>
    </w:p>
    <w:p w14:paraId="7B1104D8">
      <w:pPr>
        <w:spacing w:line="600" w:lineRule="exact"/>
        <w:ind w:firstLine="640" w:firstLineChars="200"/>
        <w:rPr>
          <w:rFonts w:hint="eastAsia" w:ascii="仿宋_GB2312" w:eastAsia="仿宋_GB2312"/>
          <w:color w:val="000000"/>
          <w:sz w:val="32"/>
          <w:szCs w:val="32"/>
        </w:rPr>
      </w:pPr>
      <w:r>
        <w:rPr>
          <w:rFonts w:hint="eastAsia" w:ascii="楷体" w:hAnsi="楷体" w:eastAsia="楷体"/>
          <w:bCs/>
          <w:color w:val="000000"/>
          <w:sz w:val="32"/>
          <w:szCs w:val="32"/>
        </w:rPr>
        <w:t>（二）色彩</w:t>
      </w:r>
    </w:p>
    <w:p w14:paraId="4B16CF02">
      <w:pPr>
        <w:spacing w:line="60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示例1：</w:t>
      </w:r>
    </w:p>
    <w:p w14:paraId="5E70CC05">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提供一张彩色（或黑白）风景照片或人物头像照片，根据照片画出一幅色彩风景画或色彩人物头像。</w:t>
      </w:r>
    </w:p>
    <w:p w14:paraId="1DFD8C5F">
      <w:pPr>
        <w:spacing w:line="60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示例2：</w:t>
      </w:r>
    </w:p>
    <w:p w14:paraId="327E3084">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根据一组彩色（或黑白）静物图片上的物品（1个透明茶杯、3个黄色的梨、1个白瓷盘子、2颗洋葱、1把水果刀、1串葡萄、1个灰色陶罐、8颗樱桃），从中选择5种以上，并根据需要添加衬布，自由组合画一幅色彩静物画。</w:t>
      </w:r>
    </w:p>
    <w:p w14:paraId="353C1766">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示例3：</w:t>
      </w:r>
    </w:p>
    <w:p w14:paraId="13F673DA">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根据一幅敦煌壁画中飞天的线描，合理配色，将其填充为一幅图案式彩色飞天像。</w:t>
      </w:r>
    </w:p>
    <w:p w14:paraId="6AB2CE69">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示例4：</w:t>
      </w:r>
    </w:p>
    <w:p w14:paraId="6952D60C">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提供一张彩色静物照片，根据照片模拟色彩静物写生，不得随意改变照片上物品的摆放位置或增减物品数量与种类。</w:t>
      </w:r>
    </w:p>
    <w:p w14:paraId="0B12F98E">
      <w:pPr>
        <w:spacing w:line="58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示例5：</w:t>
      </w:r>
    </w:p>
    <w:p w14:paraId="1FB24A05">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根据文字描述绘制一幅色彩风景画。</w:t>
      </w:r>
    </w:p>
    <w:p w14:paraId="400589A4">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大海边的悬崖上，有青翠的松树，有红白相间条纹的灯塔和小木屋。</w:t>
      </w:r>
    </w:p>
    <w:p w14:paraId="28C0A45E">
      <w:pPr>
        <w:spacing w:line="580" w:lineRule="exact"/>
        <w:ind w:firstLine="640" w:firstLineChars="200"/>
        <w:rPr>
          <w:rFonts w:hint="eastAsia" w:ascii="楷体" w:hAnsi="楷体" w:eastAsia="楷体"/>
          <w:bCs/>
          <w:color w:val="000000"/>
          <w:sz w:val="32"/>
          <w:szCs w:val="32"/>
        </w:rPr>
      </w:pPr>
      <w:r>
        <w:rPr>
          <w:rFonts w:hint="eastAsia" w:ascii="楷体" w:hAnsi="楷体" w:eastAsia="楷体"/>
          <w:bCs/>
          <w:color w:val="000000"/>
          <w:sz w:val="32"/>
          <w:szCs w:val="32"/>
        </w:rPr>
        <w:t>（三）速写（综合能力）</w:t>
      </w:r>
    </w:p>
    <w:p w14:paraId="4D48DCB5">
      <w:pPr>
        <w:spacing w:line="580" w:lineRule="exact"/>
        <w:ind w:firstLine="643" w:firstLineChars="200"/>
        <w:rPr>
          <w:rFonts w:hint="eastAsia" w:ascii="楷体" w:hAnsi="楷体" w:eastAsia="楷体"/>
          <w:bCs/>
          <w:color w:val="000000"/>
          <w:sz w:val="32"/>
          <w:szCs w:val="32"/>
        </w:rPr>
      </w:pPr>
      <w:r>
        <w:rPr>
          <w:rFonts w:hint="eastAsia" w:ascii="仿宋_GB2312" w:eastAsia="仿宋_GB2312"/>
          <w:b/>
          <w:bCs/>
          <w:color w:val="000000"/>
          <w:sz w:val="32"/>
          <w:szCs w:val="32"/>
        </w:rPr>
        <w:t>示例1：《郊游》</w:t>
      </w:r>
    </w:p>
    <w:p w14:paraId="2AA49AA1">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敦煌莫高窟第257窟《鹿王本生图》是北魏时期的作品，属敦煌壁画早期作品，其造型用线简练概括，结构清晰合理，构图长卷平铺，色彩协调统一，具有中国传统审美特点，从内容到表现手法都体现出中国传统绘画最基本的特征。</w:t>
      </w:r>
    </w:p>
    <w:p w14:paraId="381FBB84">
      <w:pPr>
        <w:widowControl w:val="0"/>
        <w:shd w:val="clear" w:color="auto" w:fill="FFFFFF"/>
        <w:spacing w:before="0" w:beforeAutospacing="0" w:after="0" w:afterAutospacing="0" w:line="580" w:lineRule="exact"/>
        <w:ind w:firstLine="640" w:firstLineChars="200"/>
        <w:jc w:val="left"/>
        <w:outlineLvl w:val="0"/>
        <w:rPr>
          <w:rFonts w:hint="eastAsia" w:ascii="仿宋_GB2312" w:hAnsi="宋体" w:eastAsia="仿宋_GB2312" w:cs="Times New Roman"/>
          <w:b w:val="0"/>
          <w:bCs w:val="0"/>
          <w:color w:val="000000"/>
          <w:kern w:val="2"/>
          <w:sz w:val="32"/>
          <w:szCs w:val="32"/>
          <w:lang w:val="en-US" w:eastAsia="zh-CN" w:bidi="ar-SA"/>
        </w:rPr>
      </w:pPr>
      <w:r>
        <w:rPr>
          <w:rFonts w:hint="eastAsia" w:ascii="仿宋_GB2312" w:hAnsi="宋体" w:eastAsia="仿宋_GB2312" w:cs="Times New Roman"/>
          <w:b w:val="0"/>
          <w:bCs w:val="0"/>
          <w:color w:val="000000"/>
          <w:kern w:val="2"/>
          <w:sz w:val="32"/>
          <w:szCs w:val="32"/>
          <w:lang w:val="en-US" w:eastAsia="zh-CN" w:bidi="ar-SA"/>
        </w:rPr>
        <w:t>请参考运用《鹿王本生图》的造型特点、构图方法和色彩关系绘制一幅《郊游》作品，表现一次郊游活动（不少于3人）。可以是家庭、同学及其他的徒步、骑行和自驾等形式的郊游。</w:t>
      </w:r>
    </w:p>
    <w:p w14:paraId="019024B2">
      <w:pPr>
        <w:widowControl w:val="0"/>
        <w:shd w:val="clear" w:color="auto" w:fill="FFFFFF"/>
        <w:spacing w:before="0" w:beforeAutospacing="0" w:after="0" w:afterAutospacing="0" w:line="580" w:lineRule="exact"/>
        <w:ind w:firstLine="640" w:firstLineChars="200"/>
        <w:jc w:val="left"/>
        <w:outlineLvl w:val="0"/>
        <w:rPr>
          <w:rFonts w:hint="eastAsia" w:ascii="仿宋_GB2312" w:hAnsi="宋体" w:eastAsia="仿宋_GB2312" w:cs="Times New Roman"/>
          <w:b w:val="0"/>
          <w:bCs w:val="0"/>
          <w:color w:val="000000"/>
          <w:kern w:val="2"/>
          <w:sz w:val="32"/>
          <w:szCs w:val="32"/>
          <w:lang w:val="en-US" w:eastAsia="zh-CN" w:bidi="ar-SA"/>
        </w:rPr>
      </w:pPr>
    </w:p>
    <w:p w14:paraId="36FEE996">
      <w:pPr>
        <w:widowControl w:val="0"/>
        <w:shd w:val="clear" w:color="auto" w:fill="FFFFFF"/>
        <w:spacing w:before="0" w:beforeAutospacing="0" w:after="0" w:afterAutospacing="0" w:line="580" w:lineRule="exact"/>
        <w:ind w:firstLine="640" w:firstLineChars="200"/>
        <w:jc w:val="left"/>
        <w:outlineLvl w:val="0"/>
        <w:rPr>
          <w:rFonts w:hint="eastAsia" w:ascii="仿宋_GB2312" w:hAnsi="宋体" w:eastAsia="仿宋_GB2312" w:cs="Times New Roman"/>
          <w:b w:val="0"/>
          <w:bCs w:val="0"/>
          <w:color w:val="000000"/>
          <w:kern w:val="2"/>
          <w:sz w:val="32"/>
          <w:szCs w:val="32"/>
          <w:lang w:val="en-US" w:eastAsia="zh-CN" w:bidi="ar-SA"/>
        </w:rPr>
      </w:pPr>
    </w:p>
    <w:p w14:paraId="4FE276D4">
      <w:pPr>
        <w:widowControl w:val="0"/>
        <w:shd w:val="clear" w:color="auto" w:fill="FFFFFF"/>
        <w:spacing w:before="0" w:beforeAutospacing="0" w:after="0" w:afterAutospacing="0" w:line="580" w:lineRule="exact"/>
        <w:ind w:firstLine="640" w:firstLineChars="200"/>
        <w:jc w:val="left"/>
        <w:outlineLvl w:val="0"/>
        <w:rPr>
          <w:rFonts w:hint="eastAsia" w:ascii="仿宋_GB2312" w:hAnsi="宋体" w:eastAsia="仿宋_GB2312" w:cs="Times New Roman"/>
          <w:b w:val="0"/>
          <w:bCs w:val="0"/>
          <w:color w:val="000000"/>
          <w:kern w:val="2"/>
          <w:sz w:val="32"/>
          <w:szCs w:val="32"/>
          <w:lang w:val="en-US" w:eastAsia="zh-CN" w:bidi="ar-SA"/>
        </w:rPr>
      </w:pPr>
    </w:p>
    <w:p w14:paraId="21EE6351">
      <w:pPr>
        <w:widowControl w:val="0"/>
        <w:shd w:val="clear" w:color="auto" w:fill="FFFFFF"/>
        <w:spacing w:before="0" w:beforeAutospacing="0" w:after="0" w:afterAutospacing="0" w:line="580" w:lineRule="exact"/>
        <w:ind w:firstLine="640" w:firstLineChars="200"/>
        <w:jc w:val="left"/>
        <w:outlineLvl w:val="0"/>
        <w:rPr>
          <w:rFonts w:hint="eastAsia" w:ascii="仿宋_GB2312" w:hAnsi="宋体" w:eastAsia="仿宋_GB2312" w:cs="Times New Roman"/>
          <w:b w:val="0"/>
          <w:bCs w:val="0"/>
          <w:color w:val="000000"/>
          <w:kern w:val="2"/>
          <w:sz w:val="32"/>
          <w:szCs w:val="32"/>
          <w:lang w:val="en-US" w:eastAsia="zh-CN" w:bidi="ar-SA"/>
        </w:rPr>
      </w:pPr>
      <w:bookmarkStart w:id="0" w:name="_GoBack"/>
      <w:bookmarkEnd w:id="0"/>
    </w:p>
    <w:p w14:paraId="686E6B45">
      <w:pPr>
        <w:rPr>
          <w:rFonts w:hint="eastAsia"/>
          <w:color w:val="000000"/>
        </w:rPr>
      </w:pPr>
      <w:r>
        <w:rPr>
          <w:color w:val="000000"/>
        </w:rPr>
        <w:drawing>
          <wp:anchor distT="0" distB="0" distL="114300" distR="114300" simplePos="0" relativeHeight="251659264" behindDoc="0" locked="0" layoutInCell="1" allowOverlap="1">
            <wp:simplePos x="0" y="0"/>
            <wp:positionH relativeFrom="column">
              <wp:align>center</wp:align>
            </wp:positionH>
            <wp:positionV relativeFrom="paragraph">
              <wp:posOffset>36830</wp:posOffset>
            </wp:positionV>
            <wp:extent cx="5447665" cy="2339975"/>
            <wp:effectExtent l="0" t="0" r="635" b="317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
                    <a:stretch>
                      <a:fillRect/>
                    </a:stretch>
                  </pic:blipFill>
                  <pic:spPr>
                    <a:xfrm>
                      <a:off x="0" y="0"/>
                      <a:ext cx="5447665" cy="2339975"/>
                    </a:xfrm>
                    <a:prstGeom prst="rect">
                      <a:avLst/>
                    </a:prstGeom>
                    <a:noFill/>
                    <a:ln>
                      <a:noFill/>
                    </a:ln>
                  </pic:spPr>
                </pic:pic>
              </a:graphicData>
            </a:graphic>
          </wp:anchor>
        </w:drawing>
      </w:r>
      <w:r>
        <w:rPr>
          <w:rFonts w:hint="eastAsia"/>
          <w:color w:val="000000"/>
        </w:rPr>
        <w:t xml:space="preserve"> </w:t>
      </w:r>
    </w:p>
    <w:p w14:paraId="2BC44A04">
      <w:pPr>
        <w:rPr>
          <w:rFonts w:hint="eastAsia"/>
          <w:color w:val="000000"/>
        </w:rPr>
      </w:pPr>
      <w:r>
        <w:rPr>
          <w:rFonts w:hint="eastAsia"/>
          <w:color w:val="000000"/>
        </w:rPr>
        <w:t xml:space="preserve"> </w:t>
      </w:r>
    </w:p>
    <w:p w14:paraId="276ECF30">
      <w:pPr>
        <w:rPr>
          <w:rFonts w:hint="eastAsia"/>
          <w:color w:val="000000"/>
        </w:rPr>
      </w:pPr>
      <w:r>
        <w:rPr>
          <w:rFonts w:hint="eastAsia"/>
          <w:color w:val="000000"/>
        </w:rPr>
        <w:t xml:space="preserve"> </w:t>
      </w:r>
    </w:p>
    <w:p w14:paraId="66DBB6B1">
      <w:pPr>
        <w:rPr>
          <w:rFonts w:hint="eastAsia"/>
          <w:color w:val="000000"/>
        </w:rPr>
      </w:pPr>
      <w:r>
        <w:rPr>
          <w:rFonts w:hint="eastAsia"/>
          <w:color w:val="000000"/>
        </w:rPr>
        <w:t xml:space="preserve"> </w:t>
      </w:r>
    </w:p>
    <w:p w14:paraId="26F3A4D2">
      <w:pPr>
        <w:rPr>
          <w:rFonts w:hint="eastAsia"/>
          <w:color w:val="000000"/>
        </w:rPr>
      </w:pPr>
      <w:r>
        <w:rPr>
          <w:rFonts w:hint="eastAsia"/>
          <w:color w:val="000000"/>
        </w:rPr>
        <w:t xml:space="preserve"> </w:t>
      </w:r>
    </w:p>
    <w:p w14:paraId="5E2BA2F6">
      <w:pPr>
        <w:rPr>
          <w:rFonts w:hint="eastAsia"/>
          <w:color w:val="000000"/>
        </w:rPr>
      </w:pPr>
      <w:r>
        <w:rPr>
          <w:rFonts w:hint="eastAsia"/>
          <w:color w:val="000000"/>
        </w:rPr>
        <w:t xml:space="preserve"> </w:t>
      </w:r>
    </w:p>
    <w:p w14:paraId="686F47E0">
      <w:pPr>
        <w:rPr>
          <w:rFonts w:hint="eastAsia"/>
          <w:color w:val="000000"/>
        </w:rPr>
      </w:pPr>
      <w:r>
        <w:rPr>
          <w:rFonts w:hint="eastAsia"/>
          <w:color w:val="000000"/>
        </w:rPr>
        <w:t xml:space="preserve"> </w:t>
      </w:r>
    </w:p>
    <w:p w14:paraId="2917F20C">
      <w:pPr>
        <w:rPr>
          <w:rFonts w:hint="eastAsia"/>
          <w:color w:val="000000"/>
        </w:rPr>
      </w:pPr>
      <w:r>
        <w:rPr>
          <w:rFonts w:hint="eastAsia"/>
          <w:color w:val="000000"/>
        </w:rPr>
        <w:t xml:space="preserve"> </w:t>
      </w:r>
    </w:p>
    <w:p w14:paraId="41E56CF8">
      <w:pPr>
        <w:rPr>
          <w:rFonts w:hint="eastAsia"/>
          <w:color w:val="000000"/>
        </w:rPr>
      </w:pPr>
      <w:r>
        <w:rPr>
          <w:rFonts w:hint="eastAsia"/>
          <w:color w:val="000000"/>
        </w:rPr>
        <w:t xml:space="preserve"> </w:t>
      </w:r>
    </w:p>
    <w:p w14:paraId="2E39B453">
      <w:pPr>
        <w:rPr>
          <w:rFonts w:hint="eastAsia"/>
          <w:color w:val="000000"/>
        </w:rPr>
      </w:pPr>
      <w:r>
        <w:rPr>
          <w:rFonts w:hint="eastAsia"/>
          <w:color w:val="000000"/>
        </w:rPr>
        <w:t xml:space="preserve"> </w:t>
      </w:r>
    </w:p>
    <w:p w14:paraId="75A66ABE">
      <w:pPr>
        <w:jc w:val="center"/>
        <w:rPr>
          <w:rFonts w:hint="eastAsia" w:ascii="宋体" w:hAnsi="宋体"/>
          <w:b/>
          <w:color w:val="000000"/>
          <w:sz w:val="28"/>
          <w:szCs w:val="28"/>
        </w:rPr>
      </w:pPr>
    </w:p>
    <w:p w14:paraId="7710E292">
      <w:pPr>
        <w:jc w:val="center"/>
        <w:rPr>
          <w:rFonts w:hint="eastAsia" w:ascii="宋体" w:hAnsi="宋体"/>
          <w:b/>
          <w:color w:val="000000"/>
          <w:sz w:val="28"/>
          <w:szCs w:val="28"/>
        </w:rPr>
      </w:pPr>
      <w:r>
        <w:rPr>
          <w:rFonts w:hint="eastAsia" w:ascii="宋体" w:hAnsi="宋体"/>
          <w:b/>
          <w:color w:val="000000"/>
          <w:sz w:val="28"/>
          <w:szCs w:val="28"/>
        </w:rPr>
        <w:t>《鹿王本生图》莫高窟第257窟 北魏</w:t>
      </w:r>
    </w:p>
    <w:p w14:paraId="3E63EB86">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示例2：《城市风景》</w:t>
      </w:r>
    </w:p>
    <w:p w14:paraId="62D8F4D4">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现代建筑中的“国际风格”着眼于解决社会公众在生理上和物理上的生活要求，并得益于钢结构、钢筋混凝土等新技术的支持，注重功能性和经济性，经常表现为标准化和模式化的方盒子、平屋顶、白粉墙、玻璃幕墙等，较为忽略历史传统和地方特点。而当代建筑师更加关注建筑与历史文化传统和地方文脉之间的对话，营造与自然和传统更加和谐的人居环境。</w:t>
      </w:r>
    </w:p>
    <w:p w14:paraId="26A4C59D">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请绘制一幅《城市风景》，画面中应同时出现现代主义建筑、中国传统建筑和当代建筑。</w:t>
      </w:r>
    </w:p>
    <w:p w14:paraId="041F2280">
      <w:pPr>
        <w:spacing w:line="58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示例3：《哪吒闹海》</w:t>
      </w:r>
    </w:p>
    <w:p w14:paraId="5B8C5D75">
      <w:pPr>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民间美术经常打破画面的时空限制来“讲故事”，反映劳动人民自己的生活。在民间艺人的笔下，不仅一年四季的花果可以齐聚在同一个画面中，甚至同一个人，同一件事情的前后场景也可以组合在一起。请参考民间剪纸艺术的构图法则、造型规律和风格特点，绘制一幅《哪吒闹海》。</w:t>
      </w:r>
    </w:p>
    <w:p w14:paraId="4B861431">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示例4：《工作的人》</w:t>
      </w:r>
    </w:p>
    <w:p w14:paraId="6B6B1383">
      <w:pPr>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请以法国巴比松画派画家米勒的《拾穗》画面构图、人物造型、环境细节为参考，置换人物身份、服装、道具及环境画一张新版本的《工作的人》。</w:t>
      </w:r>
    </w:p>
    <w:p w14:paraId="3828594E">
      <w:pPr>
        <w:spacing w:line="560" w:lineRule="exact"/>
        <w:ind w:firstLine="640" w:firstLineChars="200"/>
        <w:rPr>
          <w:rFonts w:hint="eastAsia" w:ascii="仿宋_GB2312" w:eastAsia="仿宋_GB2312"/>
          <w:b/>
          <w:bCs/>
          <w:color w:val="000000"/>
          <w:sz w:val="32"/>
          <w:szCs w:val="32"/>
        </w:rPr>
      </w:pPr>
      <w:r>
        <w:rPr>
          <w:rFonts w:hint="eastAsia" w:ascii="仿宋_GB2312" w:eastAsia="仿宋_GB2312"/>
          <w:color w:val="000000"/>
          <w:sz w:val="32"/>
          <w:szCs w:val="32"/>
        </w:rPr>
        <w:t>要求造型风格写实，绘画手法不限。</w:t>
      </w:r>
    </w:p>
    <w:p w14:paraId="38210F87">
      <w:pPr>
        <w:spacing w:line="560" w:lineRule="exact"/>
        <w:jc w:val="center"/>
        <w:rPr>
          <w:rFonts w:hint="eastAsia" w:ascii="仿宋_GB2312" w:eastAsia="仿宋_GB2312"/>
          <w:b/>
          <w:bCs/>
          <w:color w:val="000000"/>
          <w:sz w:val="32"/>
          <w:szCs w:val="32"/>
        </w:rPr>
      </w:pPr>
      <w:r>
        <w:rPr>
          <w:color w:val="000000"/>
        </w:rPr>
        <w:drawing>
          <wp:anchor distT="0" distB="0" distL="114300" distR="114300" simplePos="0" relativeHeight="251660288" behindDoc="0" locked="0" layoutInCell="1" allowOverlap="1">
            <wp:simplePos x="0" y="0"/>
            <wp:positionH relativeFrom="column">
              <wp:align>center</wp:align>
            </wp:positionH>
            <wp:positionV relativeFrom="paragraph">
              <wp:posOffset>173355</wp:posOffset>
            </wp:positionV>
            <wp:extent cx="5581650" cy="4171950"/>
            <wp:effectExtent l="0" t="0" r="0" b="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5"/>
                    <a:stretch>
                      <a:fillRect/>
                    </a:stretch>
                  </pic:blipFill>
                  <pic:spPr>
                    <a:xfrm>
                      <a:off x="0" y="0"/>
                      <a:ext cx="5581650" cy="4171950"/>
                    </a:xfrm>
                    <a:prstGeom prst="rect">
                      <a:avLst/>
                    </a:prstGeom>
                    <a:noFill/>
                    <a:ln>
                      <a:noFill/>
                    </a:ln>
                  </pic:spPr>
                </pic:pic>
              </a:graphicData>
            </a:graphic>
          </wp:anchor>
        </w:drawing>
      </w:r>
      <w:r>
        <w:rPr>
          <w:rFonts w:hint="eastAsia" w:ascii="仿宋_GB2312" w:eastAsia="仿宋_GB2312"/>
          <w:b/>
          <w:bCs/>
          <w:color w:val="000000"/>
          <w:sz w:val="32"/>
          <w:szCs w:val="32"/>
        </w:rPr>
        <w:t xml:space="preserve"> </w:t>
      </w:r>
    </w:p>
    <w:p w14:paraId="0208CF43">
      <w:pPr>
        <w:spacing w:line="560" w:lineRule="exact"/>
        <w:jc w:val="center"/>
        <w:rPr>
          <w:rFonts w:hint="eastAsia" w:ascii="仿宋_GB2312" w:eastAsia="仿宋_GB2312"/>
          <w:b/>
          <w:bCs/>
          <w:color w:val="000000"/>
          <w:sz w:val="32"/>
          <w:szCs w:val="32"/>
        </w:rPr>
      </w:pPr>
    </w:p>
    <w:p w14:paraId="4CFB24F5">
      <w:pPr>
        <w:spacing w:line="560" w:lineRule="exact"/>
        <w:jc w:val="center"/>
        <w:rPr>
          <w:rFonts w:hint="eastAsia" w:ascii="仿宋_GB2312" w:eastAsia="仿宋_GB2312"/>
          <w:b/>
          <w:bCs/>
          <w:color w:val="000000"/>
          <w:sz w:val="32"/>
          <w:szCs w:val="32"/>
        </w:rPr>
      </w:pPr>
    </w:p>
    <w:p w14:paraId="11858498">
      <w:pPr>
        <w:spacing w:line="560" w:lineRule="exact"/>
        <w:jc w:val="center"/>
        <w:rPr>
          <w:rFonts w:hint="eastAsia" w:ascii="仿宋_GB2312" w:eastAsia="仿宋_GB2312"/>
          <w:b/>
          <w:bCs/>
          <w:color w:val="000000"/>
          <w:sz w:val="32"/>
          <w:szCs w:val="32"/>
        </w:rPr>
      </w:pPr>
    </w:p>
    <w:p w14:paraId="17B29424">
      <w:pPr>
        <w:spacing w:line="560" w:lineRule="exact"/>
        <w:jc w:val="center"/>
        <w:rPr>
          <w:rFonts w:hint="eastAsia" w:ascii="仿宋_GB2312" w:eastAsia="仿宋_GB2312"/>
          <w:b/>
          <w:bCs/>
          <w:color w:val="000000"/>
          <w:sz w:val="32"/>
          <w:szCs w:val="32"/>
        </w:rPr>
      </w:pPr>
    </w:p>
    <w:p w14:paraId="5CDA684E">
      <w:pPr>
        <w:spacing w:line="560" w:lineRule="exact"/>
        <w:jc w:val="center"/>
        <w:rPr>
          <w:rFonts w:hint="eastAsia" w:ascii="仿宋_GB2312" w:eastAsia="仿宋_GB2312"/>
          <w:b/>
          <w:bCs/>
          <w:color w:val="000000"/>
          <w:sz w:val="32"/>
          <w:szCs w:val="32"/>
        </w:rPr>
      </w:pPr>
    </w:p>
    <w:p w14:paraId="66757F93">
      <w:pPr>
        <w:spacing w:line="560" w:lineRule="exact"/>
        <w:jc w:val="center"/>
        <w:rPr>
          <w:rFonts w:hint="eastAsia" w:ascii="仿宋_GB2312" w:eastAsia="仿宋_GB2312"/>
          <w:b/>
          <w:bCs/>
          <w:color w:val="000000"/>
          <w:sz w:val="32"/>
          <w:szCs w:val="32"/>
        </w:rPr>
      </w:pPr>
    </w:p>
    <w:p w14:paraId="7BA34C8F">
      <w:pPr>
        <w:spacing w:line="560" w:lineRule="exact"/>
        <w:jc w:val="center"/>
        <w:rPr>
          <w:rFonts w:hint="eastAsia" w:ascii="仿宋_GB2312" w:eastAsia="仿宋_GB2312"/>
          <w:b/>
          <w:bCs/>
          <w:color w:val="000000"/>
          <w:sz w:val="32"/>
          <w:szCs w:val="32"/>
        </w:rPr>
      </w:pPr>
    </w:p>
    <w:p w14:paraId="2E25547A">
      <w:pPr>
        <w:spacing w:line="560" w:lineRule="exact"/>
        <w:jc w:val="center"/>
        <w:rPr>
          <w:rFonts w:hint="eastAsia" w:ascii="仿宋_GB2312" w:eastAsia="仿宋_GB2312"/>
          <w:b/>
          <w:bCs/>
          <w:color w:val="000000"/>
          <w:sz w:val="32"/>
          <w:szCs w:val="32"/>
        </w:rPr>
      </w:pPr>
    </w:p>
    <w:p w14:paraId="706ACD07">
      <w:pPr>
        <w:spacing w:line="560" w:lineRule="exact"/>
        <w:jc w:val="center"/>
        <w:rPr>
          <w:rFonts w:hint="eastAsia" w:ascii="仿宋_GB2312" w:eastAsia="仿宋_GB2312"/>
          <w:b/>
          <w:bCs/>
          <w:color w:val="000000"/>
          <w:sz w:val="32"/>
          <w:szCs w:val="32"/>
        </w:rPr>
      </w:pPr>
    </w:p>
    <w:p w14:paraId="4BE1E24F">
      <w:pPr>
        <w:spacing w:line="560" w:lineRule="exact"/>
        <w:jc w:val="center"/>
        <w:rPr>
          <w:rFonts w:hint="eastAsia" w:ascii="仿宋_GB2312" w:eastAsia="仿宋_GB2312"/>
          <w:b/>
          <w:bCs/>
          <w:color w:val="000000"/>
          <w:sz w:val="32"/>
          <w:szCs w:val="32"/>
        </w:rPr>
      </w:pPr>
    </w:p>
    <w:p w14:paraId="504FC5D7">
      <w:pPr>
        <w:spacing w:line="560" w:lineRule="exact"/>
        <w:jc w:val="center"/>
        <w:rPr>
          <w:rFonts w:hint="eastAsia" w:ascii="仿宋_GB2312" w:eastAsia="仿宋_GB2312"/>
          <w:b/>
          <w:bCs/>
          <w:color w:val="000000"/>
          <w:sz w:val="32"/>
          <w:szCs w:val="32"/>
        </w:rPr>
      </w:pPr>
    </w:p>
    <w:p w14:paraId="54E83B12">
      <w:pPr>
        <w:spacing w:line="660" w:lineRule="exact"/>
        <w:jc w:val="center"/>
        <w:rPr>
          <w:rFonts w:hint="eastAsia" w:ascii="宋体" w:hAnsi="宋体"/>
          <w:b/>
          <w:color w:val="000000"/>
          <w:sz w:val="28"/>
          <w:szCs w:val="28"/>
        </w:rPr>
      </w:pPr>
      <w:r>
        <w:rPr>
          <w:rFonts w:hint="eastAsia" w:ascii="宋体" w:hAnsi="宋体"/>
          <w:b/>
          <w:color w:val="000000"/>
          <w:sz w:val="28"/>
          <w:szCs w:val="28"/>
        </w:rPr>
        <w:t>《拾穗》（1857年） 米勒  法国奥塞美术馆</w:t>
      </w:r>
    </w:p>
    <w:p w14:paraId="28F9A5C4">
      <w:pPr>
        <w:spacing w:line="580" w:lineRule="exact"/>
        <w:ind w:firstLine="643" w:firstLineChars="200"/>
        <w:rPr>
          <w:rFonts w:ascii="仿宋_GB2312" w:eastAsia="仿宋_GB2312"/>
          <w:b/>
          <w:bCs/>
          <w:color w:val="000000"/>
          <w:sz w:val="32"/>
          <w:szCs w:val="32"/>
        </w:rPr>
      </w:pPr>
      <w:r>
        <w:rPr>
          <w:rFonts w:hint="eastAsia" w:ascii="仿宋_GB2312" w:eastAsia="仿宋_GB2312"/>
          <w:b/>
          <w:bCs/>
          <w:color w:val="000000"/>
          <w:sz w:val="32"/>
          <w:szCs w:val="32"/>
        </w:rPr>
        <w:t>示例5：《集市》</w:t>
      </w:r>
    </w:p>
    <w:p w14:paraId="47987122">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中国画对物象的观察往往采取“以神遇而不以目视”的方式，描绘现实景象，被称为“走马观花”“景随心移”。风俗画则经常为了表现生动的场面，而机动地处置人物和周围环境的关系。如《清明上河图》就是其典型代表作。</w:t>
      </w:r>
    </w:p>
    <w:p w14:paraId="0900F0E2">
      <w:pPr>
        <w:spacing w:line="58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请参考《清明上河图》的构图法则和造型规律，画一幅《集市》，人物不少于5人，以线描造型为主，可以设色。</w:t>
      </w:r>
    </w:p>
    <w:p w14:paraId="07D3EB5E">
      <w:pPr>
        <w:jc w:val="left"/>
        <w:rPr>
          <w:rFonts w:hint="eastAsia"/>
          <w:color w:val="000000"/>
        </w:rPr>
      </w:pPr>
      <w:r>
        <w:rPr>
          <w:color w:val="000000"/>
        </w:rPr>
        <w:drawing>
          <wp:anchor distT="0" distB="0" distL="114300" distR="114300" simplePos="0" relativeHeight="251661312" behindDoc="0" locked="0" layoutInCell="1" allowOverlap="1">
            <wp:simplePos x="0" y="0"/>
            <wp:positionH relativeFrom="column">
              <wp:posOffset>123825</wp:posOffset>
            </wp:positionH>
            <wp:positionV relativeFrom="paragraph">
              <wp:posOffset>100965</wp:posOffset>
            </wp:positionV>
            <wp:extent cx="5396230" cy="3600450"/>
            <wp:effectExtent l="0" t="0" r="13970"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
                    <a:stretch>
                      <a:fillRect/>
                    </a:stretch>
                  </pic:blipFill>
                  <pic:spPr>
                    <a:xfrm>
                      <a:off x="0" y="0"/>
                      <a:ext cx="5396230" cy="3600450"/>
                    </a:xfrm>
                    <a:prstGeom prst="rect">
                      <a:avLst/>
                    </a:prstGeom>
                    <a:noFill/>
                    <a:ln>
                      <a:noFill/>
                    </a:ln>
                  </pic:spPr>
                </pic:pic>
              </a:graphicData>
            </a:graphic>
          </wp:anchor>
        </w:drawing>
      </w:r>
      <w:r>
        <w:rPr>
          <w:rFonts w:hint="eastAsia"/>
          <w:color w:val="000000"/>
        </w:rPr>
        <w:tab/>
      </w:r>
    </w:p>
    <w:p w14:paraId="24FE96F9">
      <w:pPr>
        <w:widowControl/>
        <w:shd w:val="clear" w:color="auto" w:fill="FFFFFF"/>
        <w:spacing w:before="100" w:beforeAutospacing="1" w:after="100" w:afterAutospacing="1" w:line="384" w:lineRule="atLeast"/>
        <w:jc w:val="center"/>
        <w:rPr>
          <w:rFonts w:hint="eastAsia" w:ascii="仿宋_GB2312" w:hAnsi="宋体" w:eastAsia="仿宋_GB2312" w:cs="宋体"/>
          <w:color w:val="000000"/>
          <w:kern w:val="2"/>
          <w:sz w:val="28"/>
          <w:szCs w:val="28"/>
          <w:lang w:val="en-US" w:eastAsia="zh-CN" w:bidi="ar-SA"/>
        </w:rPr>
      </w:pPr>
      <w:r>
        <w:rPr>
          <w:rFonts w:hint="eastAsia" w:ascii="仿宋_GB2312" w:hAnsi="宋体" w:eastAsia="仿宋_GB2312" w:cs="宋体"/>
          <w:color w:val="000000"/>
          <w:kern w:val="2"/>
          <w:sz w:val="28"/>
          <w:szCs w:val="28"/>
          <w:lang w:val="en-US" w:eastAsia="zh-CN" w:bidi="ar-SA"/>
        </w:rPr>
        <w:t xml:space="preserve"> </w:t>
      </w:r>
    </w:p>
    <w:p w14:paraId="7CB3D663">
      <w:pPr>
        <w:widowControl/>
        <w:shd w:val="clear" w:color="auto" w:fill="FFFFFF"/>
        <w:spacing w:before="100" w:beforeAutospacing="1" w:after="100" w:afterAutospacing="1" w:line="384" w:lineRule="atLeast"/>
        <w:jc w:val="center"/>
        <w:rPr>
          <w:rFonts w:hint="eastAsia" w:ascii="仿宋_GB2312" w:hAnsi="宋体" w:eastAsia="仿宋_GB2312" w:cs="宋体"/>
          <w:color w:val="000000"/>
          <w:kern w:val="2"/>
          <w:sz w:val="28"/>
          <w:szCs w:val="28"/>
          <w:lang w:val="en-US" w:eastAsia="zh-CN" w:bidi="ar-SA"/>
        </w:rPr>
      </w:pPr>
    </w:p>
    <w:p w14:paraId="0E6D8A4B">
      <w:pPr>
        <w:widowControl/>
        <w:shd w:val="clear" w:color="auto" w:fill="FFFFFF"/>
        <w:spacing w:before="100" w:beforeAutospacing="1" w:after="100" w:afterAutospacing="1" w:line="384" w:lineRule="atLeast"/>
        <w:jc w:val="center"/>
        <w:rPr>
          <w:rFonts w:hint="eastAsia" w:ascii="仿宋_GB2312" w:hAnsi="宋体" w:eastAsia="仿宋_GB2312" w:cs="宋体"/>
          <w:color w:val="000000"/>
          <w:kern w:val="2"/>
          <w:sz w:val="28"/>
          <w:szCs w:val="28"/>
          <w:lang w:val="en-US" w:eastAsia="zh-CN" w:bidi="ar-SA"/>
        </w:rPr>
      </w:pPr>
    </w:p>
    <w:p w14:paraId="5214736E">
      <w:pPr>
        <w:widowControl/>
        <w:shd w:val="clear" w:color="auto" w:fill="FFFFFF"/>
        <w:spacing w:before="100" w:beforeAutospacing="1" w:after="100" w:afterAutospacing="1" w:line="384" w:lineRule="atLeast"/>
        <w:jc w:val="center"/>
        <w:rPr>
          <w:rFonts w:hint="eastAsia" w:ascii="仿宋_GB2312" w:hAnsi="宋体" w:eastAsia="仿宋_GB2312" w:cs="宋体"/>
          <w:color w:val="000000"/>
          <w:kern w:val="2"/>
          <w:sz w:val="28"/>
          <w:szCs w:val="28"/>
          <w:lang w:val="en-US" w:eastAsia="zh-CN" w:bidi="ar-SA"/>
        </w:rPr>
      </w:pPr>
    </w:p>
    <w:p w14:paraId="7AC1AE4E">
      <w:pPr>
        <w:widowControl/>
        <w:shd w:val="clear" w:color="auto" w:fill="FFFFFF"/>
        <w:spacing w:before="100" w:beforeAutospacing="1" w:after="100" w:afterAutospacing="1" w:line="384" w:lineRule="atLeast"/>
        <w:jc w:val="center"/>
        <w:rPr>
          <w:rFonts w:hint="eastAsia" w:ascii="仿宋_GB2312" w:hAnsi="宋体" w:eastAsia="仿宋_GB2312" w:cs="宋体"/>
          <w:color w:val="000000"/>
          <w:kern w:val="2"/>
          <w:sz w:val="28"/>
          <w:szCs w:val="28"/>
          <w:lang w:val="en-US" w:eastAsia="zh-CN" w:bidi="ar-SA"/>
        </w:rPr>
      </w:pPr>
    </w:p>
    <w:p w14:paraId="0FD655B6">
      <w:pPr>
        <w:widowControl/>
        <w:shd w:val="clear" w:color="auto" w:fill="FFFFFF"/>
        <w:spacing w:before="100" w:beforeAutospacing="1" w:after="100" w:afterAutospacing="1" w:line="384" w:lineRule="atLeast"/>
        <w:jc w:val="center"/>
        <w:rPr>
          <w:rFonts w:hint="eastAsia" w:ascii="仿宋_GB2312" w:hAnsi="宋体" w:eastAsia="仿宋_GB2312" w:cs="宋体"/>
          <w:color w:val="000000"/>
          <w:kern w:val="2"/>
          <w:sz w:val="28"/>
          <w:szCs w:val="28"/>
          <w:lang w:val="en-US" w:eastAsia="zh-CN" w:bidi="ar-SA"/>
        </w:rPr>
      </w:pPr>
    </w:p>
    <w:p w14:paraId="011F3D9B">
      <w:pPr>
        <w:widowControl/>
        <w:shd w:val="clear" w:color="auto" w:fill="FFFFFF"/>
        <w:spacing w:before="0" w:beforeAutospacing="0" w:after="0" w:afterAutospacing="0" w:line="500" w:lineRule="exact"/>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《清明上河图》局部 北宋 张择端  北京故宫博物院</w:t>
      </w:r>
    </w:p>
    <w:p w14:paraId="0F7AECC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C665B4"/>
    <w:multiLevelType w:val="singleLevel"/>
    <w:tmpl w:val="46C665B4"/>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C3A3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ascii="宋体" w:hAnsi="宋体"/>
      <w:b/>
      <w:bCs/>
      <w:kern w:val="44"/>
      <w:sz w:val="48"/>
      <w:szCs w:val="4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Normal (Web)"/>
    <w:basedOn w:val="1"/>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2025-10-10T08:41:10Z</dcterms:created>
  <dc:creator>Administrator</dc:creator>
  <cp:lastModifiedBy>Sophia</cp:lastModifiedBy>
  <dcterms:modified xsi:type="dcterms:W3CDTF">2025-10-10T08:41:49Z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eyJoZGlkIjoiY2UyMWJkNTA4MzRiMWVkNzlhYzRkMGU3Mjk1YmY5NjciLCJ1c2VySWQiOiIzMDk4NDY5MDAifQ==</vt:lpwstr>
  </property>
  <property fmtid="{D5CDD505-2E9C-101B-9397-08002B2CF9AE}" pid="4" name="ICV">
    <vt:lpwstr>A62A5156D37C4BE7A5210E0A8FACDB22_12</vt:lpwstr>
  </property>
</Properties>
</file>