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51"/>
        <w:gridCol w:w="3370"/>
        <w:gridCol w:w="3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15" w:hRule="atLeast"/>
          <w:jc w:val="center"/>
        </w:trPr>
        <w:tc>
          <w:tcPr>
            <w:tcW w:w="8490" w:type="dxa"/>
            <w:gridSpan w:val="3"/>
            <w:tcBorders>
              <w:top w:val="nil"/>
              <w:left w:val="nil"/>
              <w:bottom w:val="nil"/>
              <w:right w:val="nil"/>
            </w:tcBorders>
            <w:shd w:val="clear"/>
            <w:noWrap/>
            <w:vAlign w:val="center"/>
          </w:tcPr>
          <w:p>
            <w:pPr>
              <w:keepNext w:val="0"/>
              <w:keepLines w:val="0"/>
              <w:widowControl/>
              <w:suppressLineNumbers w:val="0"/>
              <w:jc w:val="center"/>
              <w:textAlignment w:val="center"/>
            </w:pPr>
            <w:bookmarkStart w:id="0" w:name="_GoBack"/>
            <w:bookmarkEnd w:id="0"/>
            <w:r>
              <w:rPr>
                <w:rFonts w:ascii="黑体" w:hAnsi="宋体" w:eastAsia="黑体" w:cs="黑体"/>
                <w:i w:val="0"/>
                <w:iCs w:val="0"/>
                <w:kern w:val="0"/>
                <w:sz w:val="31"/>
                <w:szCs w:val="31"/>
                <w:u w:val="none"/>
                <w:bdr w:val="none" w:color="auto" w:sz="0" w:space="0"/>
                <w:lang w:val="en-US" w:eastAsia="zh-CN" w:bidi="ar"/>
              </w:rPr>
              <w:t>2023年北京市美术类考生文化课分数分布（本科）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jc w:val="center"/>
        </w:trPr>
        <w:tc>
          <w:tcPr>
            <w:tcW w:w="0" w:type="auto"/>
            <w:tcBorders>
              <w:top w:val="single" w:color="000000" w:sz="6" w:space="0"/>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b/>
                <w:bCs/>
                <w:i w:val="0"/>
                <w:iCs w:val="0"/>
                <w:kern w:val="0"/>
                <w:sz w:val="19"/>
                <w:szCs w:val="19"/>
                <w:u w:val="none"/>
                <w:bdr w:val="none" w:color="auto" w:sz="0" w:space="0"/>
                <w:lang w:val="en-US" w:eastAsia="zh-CN" w:bidi="ar"/>
              </w:rPr>
              <w:t>分数</w:t>
            </w:r>
          </w:p>
        </w:tc>
        <w:tc>
          <w:tcPr>
            <w:tcW w:w="0" w:type="auto"/>
            <w:tcBorders>
              <w:top w:val="single" w:color="000000" w:sz="6" w:space="0"/>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b/>
                <w:bCs/>
                <w:i w:val="0"/>
                <w:iCs w:val="0"/>
                <w:kern w:val="0"/>
                <w:sz w:val="19"/>
                <w:szCs w:val="19"/>
                <w:u w:val="none"/>
                <w:bdr w:val="none" w:color="auto" w:sz="0" w:space="0"/>
                <w:lang w:val="en-US" w:eastAsia="zh-CN" w:bidi="ar"/>
              </w:rPr>
              <w:t>本段人数</w:t>
            </w:r>
          </w:p>
        </w:tc>
        <w:tc>
          <w:tcPr>
            <w:tcW w:w="0" w:type="auto"/>
            <w:tcBorders>
              <w:top w:val="single" w:color="000000" w:sz="6" w:space="0"/>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b/>
                <w:bCs/>
                <w:i w:val="0"/>
                <w:iCs w:val="0"/>
                <w:kern w:val="0"/>
                <w:sz w:val="19"/>
                <w:szCs w:val="19"/>
                <w:u w:val="none"/>
                <w:bdr w:val="none" w:color="auto" w:sz="0" w:space="0"/>
                <w:lang w:val="en-US" w:eastAsia="zh-CN" w:bidi="ar"/>
              </w:rPr>
              <w:t>累计人数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693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680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675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653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648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645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638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637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634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627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626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490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480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470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460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450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440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430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400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390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380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370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360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21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350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344</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15</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341</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13</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340</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339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338</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337</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9</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0" w:type="auto"/>
            <w:tcBorders>
              <w:top w:val="nil"/>
              <w:left w:val="single" w:color="000000" w:sz="6" w:space="0"/>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336</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12</w:t>
            </w:r>
          </w:p>
        </w:tc>
        <w:tc>
          <w:tcPr>
            <w:tcW w:w="0" w:type="auto"/>
            <w:tcBorders>
              <w:top w:val="nil"/>
              <w:left w:val="nil"/>
              <w:bottom w:val="single" w:color="000000" w:sz="6" w:space="0"/>
              <w:right w:val="single" w:color="000000" w:sz="6" w:space="0"/>
            </w:tcBorders>
            <w:shd w:val="clear"/>
            <w:noWrap/>
            <w:vAlign w:val="center"/>
          </w:tcPr>
          <w:p>
            <w:pPr>
              <w:keepNext w:val="0"/>
              <w:keepLines w:val="0"/>
              <w:widowControl/>
              <w:suppressLineNumbers w:val="0"/>
              <w:jc w:val="center"/>
              <w:textAlignment w:val="center"/>
            </w:pPr>
            <w:r>
              <w:rPr>
                <w:rFonts w:hint="eastAsia" w:ascii="宋体" w:hAnsi="宋体" w:eastAsia="宋体" w:cs="宋体"/>
                <w:i w:val="0"/>
                <w:iCs w:val="0"/>
                <w:kern w:val="0"/>
                <w:sz w:val="22"/>
                <w:szCs w:val="22"/>
                <w:u w:val="none"/>
                <w:bdr w:val="none" w:color="auto" w:sz="0" w:space="0"/>
                <w:lang w:val="en-US" w:eastAsia="zh-CN" w:bidi="ar"/>
              </w:rPr>
              <w:t>3310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65" w:hRule="atLeast"/>
          <w:jc w:val="center"/>
        </w:trPr>
        <w:tc>
          <w:tcPr>
            <w:tcW w:w="8490" w:type="dxa"/>
            <w:gridSpan w:val="3"/>
            <w:tcBorders>
              <w:top w:val="single" w:color="000000" w:sz="6" w:space="0"/>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bdr w:val="none" w:color="auto" w:sz="0" w:space="0"/>
                <w:lang w:val="en-US" w:eastAsia="zh-CN" w:bidi="ar"/>
              </w:rPr>
              <w:br w:type="textWrapping"/>
            </w:r>
            <w:r>
              <w:rPr>
                <w:rFonts w:hint="eastAsia" w:ascii="宋体" w:hAnsi="宋体" w:eastAsia="宋体" w:cs="宋体"/>
                <w:i w:val="0"/>
                <w:iCs w:val="0"/>
                <w:kern w:val="0"/>
                <w:sz w:val="18"/>
                <w:szCs w:val="18"/>
                <w:u w:val="none"/>
                <w:bdr w:val="none" w:color="auto" w:sz="0" w:space="0"/>
                <w:lang w:val="en-US" w:eastAsia="zh-CN" w:bidi="ar"/>
              </w:rPr>
              <w:t>注:该统计为美术统考本科合格且文化课成绩达到艺术类本科录取控制分数线的考生文化课成绩</w:t>
            </w:r>
            <w:r>
              <w:rPr>
                <w:rFonts w:hint="eastAsia" w:ascii="宋体" w:hAnsi="宋体" w:eastAsia="宋体" w:cs="宋体"/>
                <w:i w:val="0"/>
                <w:iCs w:val="0"/>
                <w:kern w:val="0"/>
                <w:sz w:val="18"/>
                <w:szCs w:val="18"/>
                <w:u w:val="none"/>
                <w:bdr w:val="none" w:color="auto" w:sz="0" w:space="0"/>
                <w:lang w:val="en-US" w:eastAsia="zh-CN" w:bidi="ar"/>
              </w:rPr>
              <w:br w:type="textWrapping"/>
            </w:r>
            <w:r>
              <w:rPr>
                <w:rFonts w:hint="eastAsia" w:ascii="宋体" w:hAnsi="宋体" w:eastAsia="宋体" w:cs="宋体"/>
                <w:i w:val="0"/>
                <w:iCs w:val="0"/>
                <w:kern w:val="0"/>
                <w:sz w:val="18"/>
                <w:szCs w:val="18"/>
                <w:u w:val="none"/>
                <w:bdr w:val="none" w:color="auto" w:sz="0" w:space="0"/>
                <w:lang w:val="en-US" w:eastAsia="zh-CN" w:bidi="ar"/>
              </w:rPr>
              <w:t>  （含照顾加分）分布统计，专科合格考生成绩分布统计表在填报专科志愿前公布。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mJmYTQ5YTAyMTkxMDM5NzUyMDFkMWY5NWYwNzcifQ=="/>
  </w:docVars>
  <w:rsids>
    <w:rsidRoot w:val="16E535A9"/>
    <w:rsid w:val="16E5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2023-06-25T03:08:00Z</dcterms:created>
  <dc:creator>zrg</dc:creator>
  <cp:lastModifiedBy>zrg</cp:lastModifiedBy>
  <dcterms:modified xsi:type="dcterms:W3CDTF">2023-06-25T03:08:49Z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85F82F8893034332B1B4438250604C14_11</vt:lpwstr>
  </property>
</Properties>
</file>