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Calibri" w:hAnsi="Calibri" w:eastAsia="宋体" w:cs="Times New Roman"/>
          <w:b/>
          <w:bCs/>
          <w:sz w:val="36"/>
          <w:szCs w:val="36"/>
        </w:rPr>
      </w:pPr>
      <w:r>
        <w:rPr>
          <w:rFonts w:hint="eastAsia" w:ascii="Calibri" w:hAnsi="Calibri" w:eastAsia="宋体" w:cs="Times New Roman"/>
          <w:b/>
          <w:bCs/>
          <w:sz w:val="36"/>
          <w:szCs w:val="36"/>
        </w:rPr>
        <w:t>化学与化工学院学位点介绍</w:t>
      </w:r>
    </w:p>
    <w:p>
      <w:pPr>
        <w:rPr>
          <w:rFonts w:ascii="Calibri" w:hAnsi="Calibri" w:eastAsia="宋体" w:cs="Times New Roman"/>
        </w:rPr>
      </w:pPr>
    </w:p>
    <w:p>
      <w:pPr>
        <w:ind w:firstLine="560" w:firstLineChars="200"/>
        <w:rPr>
          <w:rFonts w:ascii="Times New Roman" w:hAnsi="Times New Roman" w:eastAsia="仿宋" w:cs="Times New Roman"/>
          <w:sz w:val="28"/>
          <w:szCs w:val="28"/>
        </w:rPr>
      </w:pPr>
      <w:r>
        <w:rPr>
          <w:rFonts w:hint="eastAsia" w:ascii="仿宋" w:hAnsi="仿宋" w:eastAsia="仿宋" w:cs="仿宋"/>
          <w:sz w:val="28"/>
          <w:szCs w:val="28"/>
        </w:rPr>
        <w:t>化学与化工学院前身可追溯到</w:t>
      </w:r>
      <w:r>
        <w:rPr>
          <w:rFonts w:ascii="仿宋" w:hAnsi="仿宋" w:eastAsia="仿宋" w:cs="仿宋"/>
          <w:sz w:val="28"/>
          <w:szCs w:val="28"/>
        </w:rPr>
        <w:t>195</w:t>
      </w:r>
      <w:r>
        <w:rPr>
          <w:rFonts w:hint="eastAsia" w:ascii="仿宋" w:hAnsi="仿宋" w:eastAsia="仿宋" w:cs="仿宋"/>
          <w:sz w:val="28"/>
          <w:szCs w:val="28"/>
        </w:rPr>
        <w:t>8年晋北师范专科学校化学科，</w:t>
      </w:r>
      <w:r>
        <w:rPr>
          <w:rFonts w:hint="eastAsia" w:ascii="仿宋" w:hAnsi="仿宋" w:eastAsia="仿宋" w:cs="仿宋"/>
          <w:color w:val="000000"/>
          <w:sz w:val="28"/>
          <w:szCs w:val="28"/>
        </w:rPr>
        <w:t>1988</w:t>
      </w:r>
      <w:r>
        <w:rPr>
          <w:rFonts w:hint="eastAsia" w:ascii="仿宋" w:hAnsi="仿宋" w:eastAsia="仿宋" w:cs="仿宋"/>
          <w:sz w:val="28"/>
          <w:szCs w:val="28"/>
        </w:rPr>
        <w:t>年开始招收化学专业本科生，</w:t>
      </w:r>
      <w:bookmarkStart w:id="0" w:name="_Hlk112654922"/>
      <w:r>
        <w:rPr>
          <w:rFonts w:ascii="Times New Roman" w:hAnsi="Times New Roman" w:eastAsia="仿宋" w:cs="Times New Roman"/>
          <w:sz w:val="28"/>
          <w:szCs w:val="28"/>
        </w:rPr>
        <w:t>2006年成立</w:t>
      </w:r>
      <w:r>
        <w:rPr>
          <w:rFonts w:hint="eastAsia" w:ascii="Times New Roman" w:hAnsi="Times New Roman" w:eastAsia="仿宋" w:cs="Times New Roman"/>
          <w:sz w:val="28"/>
          <w:szCs w:val="28"/>
        </w:rPr>
        <w:t>山西大同大学</w:t>
      </w:r>
      <w:r>
        <w:rPr>
          <w:rFonts w:hint="eastAsia" w:ascii="仿宋" w:hAnsi="仿宋" w:eastAsia="仿宋" w:cs="仿宋"/>
          <w:sz w:val="28"/>
          <w:szCs w:val="28"/>
        </w:rPr>
        <w:t>化学与化工学院</w:t>
      </w:r>
      <w:bookmarkEnd w:id="0"/>
      <w:r>
        <w:rPr>
          <w:rFonts w:ascii="Times New Roman" w:hAnsi="Times New Roman" w:eastAsia="仿宋" w:cs="Times New Roman"/>
          <w:sz w:val="28"/>
          <w:szCs w:val="28"/>
        </w:rPr>
        <w:t>。</w:t>
      </w:r>
    </w:p>
    <w:p>
      <w:pPr>
        <w:ind w:firstLine="560" w:firstLineChars="200"/>
        <w:rPr>
          <w:rFonts w:ascii="仿宋" w:hAnsi="仿宋" w:eastAsia="仿宋" w:cs="仿宋"/>
          <w:sz w:val="28"/>
          <w:szCs w:val="28"/>
        </w:rPr>
      </w:pPr>
      <w:r>
        <w:rPr>
          <w:rFonts w:hint="eastAsia" w:ascii="仿宋" w:hAnsi="仿宋" w:eastAsia="仿宋" w:cs="仿宋"/>
          <w:sz w:val="28"/>
          <w:szCs w:val="28"/>
        </w:rPr>
        <w:t>学院现有专任教师91名，其中教授16名、副教授42名，博士61名，</w:t>
      </w:r>
      <w:r>
        <w:rPr>
          <w:rFonts w:ascii="Times New Roman" w:hAnsi="Times New Roman" w:eastAsia="仿宋" w:cs="Times New Roman"/>
          <w:sz w:val="28"/>
          <w:szCs w:val="28"/>
        </w:rPr>
        <w:t>硕士生导师</w:t>
      </w:r>
      <w:r>
        <w:rPr>
          <w:rFonts w:hint="eastAsia" w:ascii="Times New Roman" w:hAnsi="Times New Roman" w:eastAsia="仿宋" w:cs="Times New Roman"/>
          <w:sz w:val="28"/>
          <w:szCs w:val="28"/>
        </w:rPr>
        <w:t>51名</w:t>
      </w:r>
      <w:r>
        <w:rPr>
          <w:rFonts w:hint="eastAsia" w:ascii="仿宋" w:hAnsi="仿宋" w:eastAsia="仿宋" w:cs="仿宋"/>
          <w:sz w:val="28"/>
          <w:szCs w:val="28"/>
        </w:rPr>
        <w:t>。有山西省新兴产业领军人才</w:t>
      </w:r>
      <w:r>
        <w:rPr>
          <w:rFonts w:hint="eastAsia" w:ascii="仿宋" w:hAnsi="仿宋" w:eastAsia="仿宋" w:cs="仿宋"/>
          <w:bCs/>
          <w:sz w:val="28"/>
          <w:szCs w:val="28"/>
        </w:rPr>
        <w:t>1人，享受国务院特殊津贴专家1人，新世纪“333人才工程”省级人选1人，新世纪“百千万人才工程”国家级人选1人，山西省高校“131工程”领军人才1人，山西省学术技术带头人</w:t>
      </w:r>
      <w:r>
        <w:rPr>
          <w:rFonts w:ascii="仿宋" w:hAnsi="仿宋" w:eastAsia="仿宋" w:cs="仿宋"/>
          <w:bCs/>
          <w:sz w:val="28"/>
          <w:szCs w:val="28"/>
        </w:rPr>
        <w:t>2</w:t>
      </w:r>
      <w:r>
        <w:rPr>
          <w:rFonts w:hint="eastAsia" w:ascii="仿宋" w:hAnsi="仿宋" w:eastAsia="仿宋" w:cs="仿宋"/>
          <w:bCs/>
          <w:sz w:val="28"/>
          <w:szCs w:val="28"/>
        </w:rPr>
        <w:t>人，教育部新世纪优秀人才1人，山西省高等学校中青年拔尖创新人才1人，“三晋英才”3人，侯德榜化工科学技术创新奖获得者1人。</w:t>
      </w:r>
      <w:bookmarkStart w:id="1" w:name="_Hlk112653679"/>
      <w:r>
        <w:rPr>
          <w:rFonts w:hint="eastAsia" w:ascii="仿宋" w:hAnsi="仿宋" w:eastAsia="仿宋" w:cs="仿宋"/>
          <w:sz w:val="28"/>
          <w:szCs w:val="28"/>
        </w:rPr>
        <w:t>柔性引进</w:t>
      </w:r>
      <w:bookmarkEnd w:id="1"/>
      <w:r>
        <w:rPr>
          <w:rFonts w:hint="eastAsia" w:ascii="仿宋" w:hAnsi="仿宋" w:eastAsia="仿宋" w:cs="仿宋"/>
          <w:sz w:val="28"/>
          <w:szCs w:val="28"/>
        </w:rPr>
        <w:t>中国工程院院士1人。</w:t>
      </w:r>
    </w:p>
    <w:p>
      <w:pPr>
        <w:spacing w:line="360" w:lineRule="auto"/>
        <w:ind w:firstLine="560" w:firstLineChars="200"/>
        <w:rPr>
          <w:rFonts w:ascii="仿宋" w:hAnsi="仿宋" w:eastAsia="仿宋" w:cs="楷体"/>
          <w:bCs/>
          <w:sz w:val="28"/>
          <w:szCs w:val="28"/>
        </w:rPr>
      </w:pPr>
      <w:r>
        <w:rPr>
          <w:rFonts w:hint="eastAsia" w:ascii="仿宋" w:hAnsi="仿宋" w:eastAsia="仿宋" w:cs="仿宋"/>
          <w:bCs/>
          <w:sz w:val="28"/>
          <w:szCs w:val="28"/>
        </w:rPr>
        <w:t>拥有院士工作站1个，石墨烯林业应用国家林草局重点实验室、化学生物传感山西省重点实验室、山西省石墨烯功能材料工程技术研究中心、山西省“1331工程”新型介孔材料的合成应用与成果转化工程研究中心、山西省“1331工程”石墨烯产业化应用技术协同创新中心、山西省新型炭素功能材料工程研究中心、山西省炭素产业技术创新战略联盟、大同市化学生物传感器重点实验室、大同市新型炭材料工程技术中心、大同市新型炭材料重点实验室10个科研平台和有机化学、应用化学、药物、炭材料4个研究所。化学学科</w:t>
      </w:r>
      <w:r>
        <w:rPr>
          <w:rFonts w:hint="eastAsia" w:ascii="仿宋" w:hAnsi="仿宋" w:eastAsia="仿宋" w:cs="楷体"/>
          <w:bCs/>
          <w:sz w:val="28"/>
          <w:szCs w:val="28"/>
        </w:rPr>
        <w:t>为山西省“1331工程”优势特色学科。</w:t>
      </w:r>
    </w:p>
    <w:p>
      <w:pPr>
        <w:ind w:firstLine="560" w:firstLineChars="200"/>
        <w:rPr>
          <w:rFonts w:ascii="仿宋" w:hAnsi="仿宋" w:eastAsia="仿宋" w:cs="仿宋"/>
          <w:sz w:val="28"/>
          <w:szCs w:val="28"/>
        </w:rPr>
      </w:pPr>
    </w:p>
    <w:p>
      <w:pPr>
        <w:ind w:firstLine="643" w:firstLineChars="200"/>
        <w:rPr>
          <w:rFonts w:ascii="仿宋" w:hAnsi="仿宋" w:eastAsia="仿宋" w:cs="仿宋"/>
          <w:b/>
          <w:bCs/>
          <w:sz w:val="32"/>
          <w:szCs w:val="32"/>
        </w:rPr>
      </w:pPr>
      <w:r>
        <w:rPr>
          <w:rFonts w:hint="eastAsia" w:ascii="仿宋" w:hAnsi="仿宋" w:eastAsia="仿宋" w:cs="仿宋"/>
          <w:b/>
          <w:bCs/>
          <w:sz w:val="32"/>
          <w:szCs w:val="32"/>
        </w:rPr>
        <w:t>化学一级学科硕士学位授权点：</w:t>
      </w:r>
    </w:p>
    <w:p>
      <w:pPr>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化学一级学科硕士学位授权点于2017年获批，2019年首次招生。</w:t>
      </w:r>
      <w:r>
        <w:rPr>
          <w:rFonts w:ascii="仿宋" w:hAnsi="仿宋" w:eastAsia="仿宋" w:cs="仿宋"/>
          <w:sz w:val="28"/>
          <w:szCs w:val="28"/>
        </w:rPr>
        <w:t>目前已培养毕业研究生15名</w:t>
      </w:r>
      <w:r>
        <w:rPr>
          <w:rFonts w:hint="eastAsia" w:ascii="仿宋" w:hAnsi="仿宋" w:eastAsia="仿宋" w:cs="仿宋"/>
          <w:sz w:val="28"/>
          <w:szCs w:val="28"/>
        </w:rPr>
        <w:t>，现有在读</w:t>
      </w:r>
      <w:r>
        <w:rPr>
          <w:rFonts w:ascii="仿宋" w:hAnsi="仿宋" w:eastAsia="仿宋" w:cs="仿宋"/>
          <w:sz w:val="28"/>
          <w:szCs w:val="28"/>
        </w:rPr>
        <w:t>硕士研究生64</w:t>
      </w:r>
      <w:r>
        <w:rPr>
          <w:rFonts w:hint="eastAsia" w:ascii="仿宋" w:hAnsi="仿宋" w:eastAsia="仿宋" w:cs="仿宋"/>
          <w:sz w:val="28"/>
          <w:szCs w:val="28"/>
        </w:rPr>
        <w:t>名</w:t>
      </w:r>
      <w:r>
        <w:rPr>
          <w:rFonts w:ascii="仿宋" w:hAnsi="仿宋" w:eastAsia="仿宋" w:cs="仿宋"/>
          <w:sz w:val="28"/>
          <w:szCs w:val="28"/>
        </w:rPr>
        <w:t>。</w:t>
      </w:r>
      <w:r>
        <w:rPr>
          <w:rFonts w:hint="eastAsia" w:ascii="仿宋" w:hAnsi="仿宋" w:eastAsia="仿宋" w:cs="仿宋"/>
          <w:sz w:val="28"/>
          <w:szCs w:val="28"/>
        </w:rPr>
        <w:t>2</w:t>
      </w:r>
      <w:r>
        <w:rPr>
          <w:rFonts w:ascii="仿宋" w:hAnsi="仿宋" w:eastAsia="仿宋" w:cs="仿宋"/>
          <w:sz w:val="28"/>
          <w:szCs w:val="28"/>
        </w:rPr>
        <w:t>023</w:t>
      </w:r>
      <w:r>
        <w:rPr>
          <w:rFonts w:hint="eastAsia" w:ascii="仿宋" w:hAnsi="仿宋" w:eastAsia="仿宋" w:cs="仿宋"/>
          <w:sz w:val="28"/>
          <w:szCs w:val="28"/>
        </w:rPr>
        <w:t>年拟招生3</w:t>
      </w:r>
      <w:r>
        <w:rPr>
          <w:rFonts w:ascii="仿宋" w:hAnsi="仿宋" w:eastAsia="仿宋" w:cs="仿宋"/>
          <w:sz w:val="28"/>
          <w:szCs w:val="28"/>
        </w:rPr>
        <w:t>0</w:t>
      </w:r>
      <w:r>
        <w:rPr>
          <w:rFonts w:hint="eastAsia" w:ascii="仿宋" w:hAnsi="仿宋" w:eastAsia="仿宋" w:cs="仿宋"/>
          <w:sz w:val="28"/>
          <w:szCs w:val="28"/>
        </w:rPr>
        <w:t>名左右。详见招生简章。</w:t>
      </w:r>
    </w:p>
    <w:p>
      <w:pPr>
        <w:ind w:firstLine="560" w:firstLineChars="200"/>
        <w:rPr>
          <w:rFonts w:ascii="仿宋" w:hAnsi="仿宋" w:eastAsia="仿宋" w:cs="仿宋"/>
          <w:bCs/>
          <w:sz w:val="28"/>
          <w:szCs w:val="28"/>
          <w:u w:val="single"/>
        </w:rPr>
      </w:pPr>
      <w:r>
        <w:rPr>
          <w:rFonts w:hint="eastAsia" w:ascii="仿宋" w:hAnsi="仿宋" w:eastAsia="仿宋" w:cs="仿宋"/>
          <w:bCs/>
          <w:sz w:val="28"/>
          <w:szCs w:val="28"/>
        </w:rPr>
        <w:t>近五年承担国家级项目7项，省部级项目58项，其他政府项目14项，非政府项目2项。发表科研论文178篇，其中SCI收录论文134篇。获省部级科研奖一等奖2项、二等奖及以下9项；获省级教学成果4项；发明专利46项；出版专著6部。首届15名毕业生发表高水平论文6篇，其中SCI、EI、中文核心收录4篇；主持省级研究生创新项目1项，校级研究生创新项目5项、横向项目1项；获全国林业草原行业创新创业大赛全国半决赛三等奖1项、山西省“兴晋挑战杯”大学生创业计划竞赛金奖1项、山西省互联网+大学生创新创业大赛银奖1项、中国大同创新创业大赛高校组最佳创意奖1项。</w:t>
      </w:r>
    </w:p>
    <w:p>
      <w:pPr>
        <w:spacing w:line="360" w:lineRule="auto"/>
        <w:ind w:firstLine="560" w:firstLineChars="200"/>
        <w:rPr>
          <w:rFonts w:ascii="仿宋" w:hAnsi="仿宋" w:eastAsia="仿宋" w:cs="楷体"/>
          <w:sz w:val="28"/>
          <w:szCs w:val="28"/>
        </w:rPr>
      </w:pPr>
      <w:r>
        <w:rPr>
          <w:rFonts w:hint="eastAsia" w:ascii="仿宋" w:hAnsi="仿宋" w:eastAsia="仿宋" w:cs="仿宋"/>
          <w:color w:val="000000"/>
          <w:sz w:val="28"/>
          <w:szCs w:val="28"/>
        </w:rPr>
        <w:t>本学科</w:t>
      </w:r>
      <w:r>
        <w:rPr>
          <w:rFonts w:hint="eastAsia" w:ascii="仿宋" w:hAnsi="仿宋" w:eastAsia="仿宋" w:cs="楷体"/>
          <w:sz w:val="28"/>
          <w:szCs w:val="28"/>
        </w:rPr>
        <w:t>有无机化学、分析化学、物理化学3个研究方向。</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无机化学：重点开展石墨烯基础理论与应用研究，研制了化学氧化法、液相法等五种工艺，开发石墨烯增效复合肥、水性防腐涂料、电热膜等产品。运用无机磁性材料设计磁性靶向药物载体。研究炭/炭复合材料微观织构的有效控制。</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分析化学：通过荧光、磷光等技术，研究靶标分子识别的生化信号转换与放大和界面信号转换新原理、新方法。基于炔基和罗丹明染料设计合成系列离子荧光探针，研究细胞荧光成细胞荧光成像技术。以聚合法研究系列隐色酞菁的合成及显色反应。</w:t>
      </w:r>
    </w:p>
    <w:p>
      <w:pPr>
        <w:ind w:firstLine="360"/>
        <w:rPr>
          <w:rFonts w:ascii="仿宋" w:hAnsi="仿宋" w:eastAsia="仿宋" w:cs="仿宋"/>
          <w:color w:val="000000"/>
          <w:sz w:val="28"/>
          <w:szCs w:val="28"/>
        </w:rPr>
      </w:pPr>
      <w:r>
        <w:rPr>
          <w:rFonts w:hint="eastAsia" w:ascii="仿宋" w:hAnsi="仿宋" w:eastAsia="仿宋" w:cs="仿宋"/>
          <w:color w:val="000000"/>
          <w:sz w:val="28"/>
          <w:szCs w:val="28"/>
        </w:rPr>
        <w:t>物理化学：研究多相催化问题，发展高效、经济且环境友好的催化体系。研究可控制备纳米材料，利用晋北地区丰富的风能、太阳能开发高效的光、电催化体系及器件。利用密度泛函理论和分子力学，探讨催化反应机理。</w:t>
      </w:r>
    </w:p>
    <w:p>
      <w:pPr>
        <w:jc w:val="center"/>
        <w:rPr>
          <w:rFonts w:ascii="仿宋" w:hAnsi="仿宋" w:eastAsia="仿宋" w:cs="仿宋"/>
          <w:color w:val="FF0000"/>
          <w:sz w:val="28"/>
          <w:szCs w:val="28"/>
        </w:rPr>
      </w:pPr>
      <w:r>
        <w:rPr>
          <w:rFonts w:ascii="仿宋" w:hAnsi="仿宋" w:eastAsia="仿宋" w:cs="仿宋"/>
          <w:color w:val="FF0000"/>
          <w:sz w:val="28"/>
          <w:szCs w:val="28"/>
        </w:rPr>
        <w:drawing>
          <wp:inline distT="0" distB="0" distL="114300" distR="114300">
            <wp:extent cx="4077970" cy="2292350"/>
            <wp:effectExtent l="0" t="0" r="17780" b="12700"/>
            <wp:docPr id="12" name="图片 1" descr="C:\Users\lenovo\Desktop\1602764760_8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lenovo\Desktop\1602764760_8456.jpg"/>
                    <pic:cNvPicPr>
                      <a:picLocks noChangeAspect="1"/>
                    </pic:cNvPicPr>
                  </pic:nvPicPr>
                  <pic:blipFill>
                    <a:blip r:embed="rId4"/>
                    <a:srcRect t="17244"/>
                    <a:stretch>
                      <a:fillRect/>
                    </a:stretch>
                  </pic:blipFill>
                  <pic:spPr>
                    <a:xfrm>
                      <a:off x="0" y="0"/>
                      <a:ext cx="4077970" cy="2292350"/>
                    </a:xfrm>
                    <a:prstGeom prst="rect">
                      <a:avLst/>
                    </a:prstGeom>
                    <a:noFill/>
                    <a:ln>
                      <a:noFill/>
                    </a:ln>
                  </pic:spPr>
                </pic:pic>
              </a:graphicData>
            </a:graphic>
          </wp:inline>
        </w:drawing>
      </w:r>
    </w:p>
    <w:p>
      <w:pPr>
        <w:jc w:val="center"/>
        <w:rPr>
          <w:rFonts w:ascii="仿宋" w:hAnsi="仿宋" w:eastAsia="仿宋" w:cs="Times New Roman"/>
          <w:sz w:val="24"/>
        </w:rPr>
      </w:pPr>
      <w:r>
        <w:rPr>
          <w:rFonts w:ascii="仿宋" w:hAnsi="仿宋" w:eastAsia="仿宋" w:cs="Times New Roman"/>
          <w:sz w:val="24"/>
        </w:rPr>
        <w:t>赵建国教授在国家林草局“绿色大讲堂”作专题讲座</w:t>
      </w:r>
    </w:p>
    <w:p>
      <w:pPr>
        <w:jc w:val="center"/>
        <w:rPr>
          <w:rFonts w:ascii="等线" w:hAnsi="等线" w:eastAsia="等线" w:cs="Times New Roman"/>
          <w:sz w:val="24"/>
        </w:rPr>
      </w:pPr>
    </w:p>
    <w:p>
      <w:pPr>
        <w:jc w:val="center"/>
        <w:rPr>
          <w:rFonts w:ascii="仿宋" w:hAnsi="仿宋" w:eastAsia="仿宋" w:cs="仿宋"/>
          <w:color w:val="FF0000"/>
          <w:sz w:val="28"/>
          <w:szCs w:val="28"/>
        </w:rPr>
      </w:pPr>
      <w:r>
        <w:rPr>
          <w:rFonts w:ascii="仿宋" w:hAnsi="仿宋" w:eastAsia="仿宋" w:cs="仿宋"/>
          <w:color w:val="FF0000"/>
          <w:sz w:val="28"/>
          <w:szCs w:val="28"/>
        </w:rPr>
        <w:drawing>
          <wp:inline distT="0" distB="0" distL="114300" distR="114300">
            <wp:extent cx="4068445" cy="2499360"/>
            <wp:effectExtent l="0" t="0" r="8255" b="1524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
                    <a:srcRect t="22916" b="13437"/>
                    <a:stretch>
                      <a:fillRect/>
                    </a:stretch>
                  </pic:blipFill>
                  <pic:spPr>
                    <a:xfrm>
                      <a:off x="0" y="0"/>
                      <a:ext cx="4068445" cy="2499360"/>
                    </a:xfrm>
                    <a:prstGeom prst="rect">
                      <a:avLst/>
                    </a:prstGeom>
                    <a:noFill/>
                    <a:ln>
                      <a:noFill/>
                    </a:ln>
                  </pic:spPr>
                </pic:pic>
              </a:graphicData>
            </a:graphic>
          </wp:inline>
        </w:drawing>
      </w:r>
    </w:p>
    <w:p>
      <w:pPr>
        <w:jc w:val="center"/>
        <w:rPr>
          <w:rFonts w:ascii="仿宋" w:hAnsi="仿宋" w:eastAsia="仿宋" w:cs="仿宋"/>
          <w:sz w:val="24"/>
        </w:rPr>
      </w:pPr>
      <w:r>
        <w:rPr>
          <w:rFonts w:hint="eastAsia" w:ascii="仿宋" w:hAnsi="仿宋" w:eastAsia="仿宋" w:cs="仿宋"/>
          <w:sz w:val="24"/>
        </w:rPr>
        <w:t>冯锋教授指导科研工作</w:t>
      </w:r>
    </w:p>
    <w:p>
      <w:pPr>
        <w:jc w:val="center"/>
        <w:rPr>
          <w:rFonts w:ascii="仿宋" w:hAnsi="仿宋" w:eastAsia="仿宋" w:cs="仿宋"/>
          <w:sz w:val="28"/>
          <w:szCs w:val="28"/>
        </w:rPr>
      </w:pPr>
      <w:r>
        <w:rPr>
          <w:rFonts w:ascii="仿宋" w:hAnsi="仿宋" w:eastAsia="仿宋" w:cs="仿宋"/>
          <w:sz w:val="28"/>
          <w:szCs w:val="28"/>
        </w:rPr>
        <w:drawing>
          <wp:inline distT="0" distB="0" distL="114300" distR="114300">
            <wp:extent cx="4128135" cy="2223770"/>
            <wp:effectExtent l="0" t="0" r="5715" b="508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4128135" cy="2223770"/>
                    </a:xfrm>
                    <a:prstGeom prst="rect">
                      <a:avLst/>
                    </a:prstGeom>
                    <a:noFill/>
                    <a:ln>
                      <a:noFill/>
                    </a:ln>
                  </pic:spPr>
                </pic:pic>
              </a:graphicData>
            </a:graphic>
          </wp:inline>
        </w:drawing>
      </w:r>
    </w:p>
    <w:p>
      <w:pPr>
        <w:jc w:val="center"/>
        <w:rPr>
          <w:rFonts w:ascii="仿宋" w:hAnsi="仿宋" w:eastAsia="仿宋" w:cs="仿宋"/>
          <w:sz w:val="24"/>
        </w:rPr>
      </w:pPr>
      <w:r>
        <w:rPr>
          <w:rFonts w:hint="eastAsia" w:ascii="仿宋" w:hAnsi="仿宋" w:eastAsia="仿宋" w:cs="仿宋"/>
          <w:sz w:val="24"/>
        </w:rPr>
        <w:t>研究生进行科学实验</w:t>
      </w:r>
    </w:p>
    <w:p>
      <w:pPr>
        <w:jc w:val="center"/>
        <w:rPr>
          <w:rFonts w:ascii="仿宋" w:hAnsi="仿宋" w:eastAsia="仿宋" w:cs="仿宋"/>
          <w:sz w:val="24"/>
        </w:rPr>
      </w:pPr>
    </w:p>
    <w:p>
      <w:pPr>
        <w:jc w:val="center"/>
        <w:rPr>
          <w:rFonts w:ascii="仿宋" w:hAnsi="仿宋" w:eastAsia="仿宋" w:cs="仿宋"/>
          <w:sz w:val="28"/>
          <w:szCs w:val="28"/>
        </w:rPr>
      </w:pPr>
      <w:r>
        <w:rPr>
          <w:rFonts w:ascii="仿宋" w:hAnsi="仿宋" w:eastAsia="仿宋" w:cs="仿宋"/>
          <w:sz w:val="28"/>
          <w:szCs w:val="28"/>
        </w:rPr>
        <w:drawing>
          <wp:inline distT="0" distB="0" distL="114300" distR="114300">
            <wp:extent cx="4050665" cy="2522855"/>
            <wp:effectExtent l="0" t="0" r="6985" b="1079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7"/>
                    <a:stretch>
                      <a:fillRect/>
                    </a:stretch>
                  </pic:blipFill>
                  <pic:spPr>
                    <a:xfrm>
                      <a:off x="0" y="0"/>
                      <a:ext cx="4050665" cy="2522855"/>
                    </a:xfrm>
                    <a:prstGeom prst="rect">
                      <a:avLst/>
                    </a:prstGeom>
                    <a:noFill/>
                    <a:ln>
                      <a:noFill/>
                    </a:ln>
                  </pic:spPr>
                </pic:pic>
              </a:graphicData>
            </a:graphic>
          </wp:inline>
        </w:drawing>
      </w:r>
    </w:p>
    <w:p>
      <w:pPr>
        <w:jc w:val="center"/>
        <w:rPr>
          <w:rFonts w:ascii="仿宋" w:hAnsi="仿宋" w:eastAsia="仿宋" w:cs="仿宋"/>
          <w:sz w:val="24"/>
        </w:rPr>
      </w:pPr>
      <w:r>
        <w:rPr>
          <w:rFonts w:hint="eastAsia" w:ascii="仿宋" w:hAnsi="仿宋" w:eastAsia="仿宋" w:cs="仿宋"/>
          <w:sz w:val="24"/>
        </w:rPr>
        <w:t>指导教师指导学生科学研究</w:t>
      </w:r>
    </w:p>
    <w:p>
      <w:pPr>
        <w:ind w:firstLine="560" w:firstLineChars="200"/>
        <w:rPr>
          <w:rFonts w:ascii="仿宋" w:hAnsi="仿宋" w:eastAsia="仿宋" w:cs="仿宋"/>
          <w:color w:val="FF0000"/>
          <w:sz w:val="28"/>
          <w:szCs w:val="28"/>
        </w:rPr>
      </w:pPr>
    </w:p>
    <w:p>
      <w:pPr>
        <w:ind w:firstLine="643" w:firstLineChars="200"/>
        <w:rPr>
          <w:rFonts w:ascii="仿宋" w:hAnsi="仿宋" w:eastAsia="仿宋" w:cs="仿宋"/>
          <w:b/>
          <w:bCs/>
          <w:sz w:val="32"/>
          <w:szCs w:val="32"/>
        </w:rPr>
      </w:pPr>
      <w:r>
        <w:rPr>
          <w:rFonts w:hint="eastAsia" w:ascii="仿宋" w:hAnsi="仿宋" w:eastAsia="仿宋" w:cs="仿宋"/>
          <w:b/>
          <w:bCs/>
          <w:sz w:val="32"/>
          <w:szCs w:val="32"/>
        </w:rPr>
        <w:t>材料与化工专业硕士学位授权点：</w:t>
      </w:r>
    </w:p>
    <w:p>
      <w:pPr>
        <w:ind w:firstLine="560" w:firstLineChars="200"/>
        <w:rPr>
          <w:rFonts w:ascii="仿宋" w:hAnsi="仿宋" w:eastAsia="仿宋" w:cs="仿宋"/>
          <w:sz w:val="28"/>
          <w:szCs w:val="28"/>
        </w:rPr>
      </w:pPr>
      <w:r>
        <w:rPr>
          <w:rFonts w:hint="eastAsia" w:ascii="仿宋" w:hAnsi="仿宋" w:eastAsia="仿宋" w:cs="仿宋"/>
          <w:sz w:val="28"/>
          <w:szCs w:val="28"/>
        </w:rPr>
        <w:t>材料与化工专业硕士学位授权点于2021年获批，2023年首次招生。2023年拟招生</w:t>
      </w:r>
      <w:r>
        <w:rPr>
          <w:rFonts w:ascii="仿宋" w:hAnsi="仿宋" w:eastAsia="仿宋" w:cs="仿宋"/>
          <w:sz w:val="28"/>
          <w:szCs w:val="28"/>
        </w:rPr>
        <w:t>15</w:t>
      </w:r>
      <w:r>
        <w:rPr>
          <w:rFonts w:hint="eastAsia" w:ascii="仿宋" w:hAnsi="仿宋" w:eastAsia="仿宋" w:cs="仿宋"/>
          <w:sz w:val="28"/>
          <w:szCs w:val="28"/>
        </w:rPr>
        <w:t>名左右。详见招生简章。</w:t>
      </w:r>
    </w:p>
    <w:p>
      <w:pPr>
        <w:ind w:firstLine="560" w:firstLineChars="200"/>
        <w:rPr>
          <w:rFonts w:ascii="仿宋" w:hAnsi="仿宋" w:eastAsia="仿宋" w:cs="仿宋"/>
          <w:sz w:val="28"/>
          <w:szCs w:val="28"/>
        </w:rPr>
      </w:pPr>
      <w:r>
        <w:rPr>
          <w:rFonts w:hint="eastAsia" w:ascii="仿宋" w:hAnsi="仿宋" w:eastAsia="仿宋" w:cs="仿宋"/>
          <w:sz w:val="28"/>
          <w:szCs w:val="28"/>
        </w:rPr>
        <w:t>近五年承担国家级项目8项，发表学术论文100篇，授权专利82项，获省级科技奖励5项，推广应用成果6项。</w:t>
      </w:r>
    </w:p>
    <w:p>
      <w:pPr>
        <w:ind w:firstLine="560" w:firstLineChars="200"/>
        <w:rPr>
          <w:rFonts w:ascii="仿宋" w:hAnsi="仿宋" w:eastAsia="仿宋" w:cs="仿宋"/>
          <w:sz w:val="28"/>
          <w:szCs w:val="28"/>
        </w:rPr>
      </w:pPr>
      <w:r>
        <w:rPr>
          <w:rFonts w:hint="eastAsia" w:ascii="仿宋" w:hAnsi="仿宋" w:eastAsia="仿宋" w:cs="仿宋"/>
          <w:sz w:val="28"/>
          <w:szCs w:val="28"/>
        </w:rPr>
        <w:t>本专业有炭素新材料、精细化工、生态碳汇3个研究方向。</w:t>
      </w:r>
    </w:p>
    <w:p>
      <w:pPr>
        <w:ind w:firstLine="560" w:firstLineChars="200"/>
        <w:rPr>
          <w:rFonts w:ascii="仿宋" w:hAnsi="仿宋" w:eastAsia="仿宋" w:cs="仿宋"/>
          <w:sz w:val="28"/>
          <w:szCs w:val="28"/>
        </w:rPr>
      </w:pPr>
      <w:r>
        <w:rPr>
          <w:rFonts w:hint="eastAsia" w:ascii="仿宋" w:hAnsi="仿宋" w:eastAsia="仿宋" w:cs="仿宋"/>
          <w:sz w:val="28"/>
          <w:szCs w:val="28"/>
        </w:rPr>
        <w:t>炭素新材料：开展炭/炭复合材料制备工艺技术、石墨烯高品质低成本规模化制备技术以及石墨烯在农林业和水性防腐材料的应用研究，探索新材料制备工艺以及应用技术。</w:t>
      </w:r>
    </w:p>
    <w:p>
      <w:pPr>
        <w:ind w:firstLine="560" w:firstLineChars="200"/>
        <w:rPr>
          <w:rFonts w:ascii="仿宋" w:hAnsi="仿宋" w:eastAsia="仿宋" w:cs="仿宋"/>
          <w:sz w:val="28"/>
          <w:szCs w:val="28"/>
        </w:rPr>
      </w:pPr>
      <w:r>
        <w:rPr>
          <w:rFonts w:hint="eastAsia" w:ascii="仿宋" w:hAnsi="仿宋" w:eastAsia="仿宋" w:cs="仿宋"/>
          <w:sz w:val="28"/>
          <w:szCs w:val="28"/>
        </w:rPr>
        <w:t>精细化工：开展新型催化材料与工艺、功能化合物的合成与应用、新型多孔材料的合成与应用、高分子材料与工艺等领域的前沿应用研究，解决清洁能源、新能源、新材料工业中存在的关键问题。</w:t>
      </w:r>
    </w:p>
    <w:p>
      <w:pPr>
        <w:ind w:firstLine="560" w:firstLineChars="200"/>
        <w:rPr>
          <w:rFonts w:ascii="仿宋" w:hAnsi="仿宋" w:eastAsia="仿宋" w:cs="仿宋"/>
          <w:sz w:val="28"/>
          <w:szCs w:val="28"/>
        </w:rPr>
      </w:pPr>
      <w:r>
        <w:rPr>
          <w:rFonts w:hint="eastAsia" w:ascii="仿宋" w:hAnsi="仿宋" w:eastAsia="仿宋" w:cs="仿宋"/>
          <w:sz w:val="28"/>
          <w:szCs w:val="28"/>
        </w:rPr>
        <w:t xml:space="preserve">生态碳汇：紧跟国家新战略，开展煤基纳米炭促进林草生长、提升林地生态碳汇能力、促进林下经济提质增效、煤基固废生态利用等研究领域的关键技术研发，在煤基固碳增汇领域形成核心技术支撑。培养煤基固碳增汇高水平工程师与煤基生态碳汇领域的研究型人才。 </w:t>
      </w:r>
    </w:p>
    <w:p>
      <w:pPr>
        <w:jc w:val="center"/>
        <w:rPr>
          <w:rFonts w:ascii="仿宋" w:hAnsi="仿宋" w:eastAsia="仿宋" w:cs="仿宋"/>
          <w:sz w:val="28"/>
          <w:szCs w:val="28"/>
        </w:rPr>
      </w:pPr>
      <w:r>
        <w:rPr>
          <w:rFonts w:hint="eastAsia" w:ascii="仿宋" w:hAnsi="仿宋" w:eastAsia="仿宋" w:cs="仿宋"/>
          <w:sz w:val="28"/>
          <w:szCs w:val="28"/>
        </w:rPr>
        <w:drawing>
          <wp:inline distT="0" distB="0" distL="114300" distR="114300">
            <wp:extent cx="4356100" cy="2520950"/>
            <wp:effectExtent l="0" t="0" r="6350" b="12700"/>
            <wp:docPr id="9"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2"/>
                    <pic:cNvPicPr>
                      <a:picLocks noChangeAspect="1"/>
                    </pic:cNvPicPr>
                  </pic:nvPicPr>
                  <pic:blipFill>
                    <a:blip r:embed="rId8"/>
                    <a:stretch>
                      <a:fillRect/>
                    </a:stretch>
                  </pic:blipFill>
                  <pic:spPr>
                    <a:xfrm>
                      <a:off x="0" y="0"/>
                      <a:ext cx="4356100" cy="2520950"/>
                    </a:xfrm>
                    <a:prstGeom prst="rect">
                      <a:avLst/>
                    </a:prstGeom>
                    <a:noFill/>
                    <a:ln>
                      <a:noFill/>
                    </a:ln>
                  </pic:spPr>
                </pic:pic>
              </a:graphicData>
            </a:graphic>
          </wp:inline>
        </w:drawing>
      </w:r>
    </w:p>
    <w:p>
      <w:pPr>
        <w:jc w:val="center"/>
        <w:rPr>
          <w:rFonts w:ascii="仿宋" w:hAnsi="仿宋" w:eastAsia="仿宋" w:cs="仿宋"/>
          <w:sz w:val="28"/>
          <w:szCs w:val="28"/>
        </w:rPr>
      </w:pPr>
      <w:r>
        <w:rPr>
          <w:rFonts w:ascii="仿宋" w:hAnsi="仿宋" w:eastAsia="仿宋" w:cs="仿宋"/>
          <w:sz w:val="28"/>
          <w:szCs w:val="28"/>
        </w:rPr>
        <w:drawing>
          <wp:inline distT="0" distB="0" distL="114300" distR="114300">
            <wp:extent cx="4372610" cy="2698750"/>
            <wp:effectExtent l="0" t="0" r="8890" b="6350"/>
            <wp:docPr id="10" name="图片 6" descr="C:\Users\lenovo\Desktop\微信图片_2020092621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C:\Users\lenovo\Desktop\微信图片_20200926214741.jpg"/>
                    <pic:cNvPicPr>
                      <a:picLocks noChangeAspect="1"/>
                    </pic:cNvPicPr>
                  </pic:nvPicPr>
                  <pic:blipFill>
                    <a:blip r:embed="rId9"/>
                    <a:stretch>
                      <a:fillRect/>
                    </a:stretch>
                  </pic:blipFill>
                  <pic:spPr>
                    <a:xfrm>
                      <a:off x="0" y="0"/>
                      <a:ext cx="4372610" cy="2698750"/>
                    </a:xfrm>
                    <a:prstGeom prst="rect">
                      <a:avLst/>
                    </a:prstGeom>
                    <a:noFill/>
                    <a:ln>
                      <a:noFill/>
                    </a:ln>
                  </pic:spPr>
                </pic:pic>
              </a:graphicData>
            </a:graphic>
          </wp:inline>
        </w:drawing>
      </w:r>
    </w:p>
    <w:p>
      <w:pPr>
        <w:ind w:firstLine="360"/>
        <w:jc w:val="center"/>
        <w:rPr>
          <w:rFonts w:ascii="仿宋" w:hAnsi="仿宋" w:eastAsia="仿宋" w:cs="Times New Roman"/>
          <w:sz w:val="18"/>
          <w:szCs w:val="18"/>
        </w:rPr>
      </w:pPr>
      <w:r>
        <w:rPr>
          <w:rFonts w:hint="eastAsia" w:ascii="仿宋" w:hAnsi="仿宋" w:eastAsia="仿宋" w:cs="Times New Roman"/>
          <w:sz w:val="18"/>
          <w:szCs w:val="18"/>
        </w:rPr>
        <w:t>赵建国教授参加</w:t>
      </w:r>
      <w:r>
        <w:rPr>
          <w:rFonts w:ascii="仿宋" w:hAnsi="仿宋" w:eastAsia="仿宋" w:cs="Times New Roman"/>
          <w:sz w:val="18"/>
          <w:szCs w:val="18"/>
        </w:rPr>
        <w:t>山西省炭素产业发展研讨会</w:t>
      </w:r>
    </w:p>
    <w:p>
      <w:pPr>
        <w:jc w:val="center"/>
        <w:rPr>
          <w:rFonts w:ascii="仿宋" w:hAnsi="仿宋" w:eastAsia="仿宋" w:cs="仿宋"/>
          <w:sz w:val="18"/>
          <w:szCs w:val="18"/>
        </w:rPr>
      </w:pPr>
      <w:r>
        <w:rPr>
          <w:rFonts w:ascii="仿宋" w:hAnsi="仿宋" w:eastAsia="仿宋" w:cs="仿宋"/>
          <w:sz w:val="28"/>
          <w:szCs w:val="28"/>
        </w:rPr>
        <w:drawing>
          <wp:inline distT="0" distB="0" distL="114300" distR="114300">
            <wp:extent cx="1818005" cy="2362835"/>
            <wp:effectExtent l="0" t="0" r="10795" b="18415"/>
            <wp:docPr id="11" name="图片 7" descr="C:\Users\lenovo\Desktop\9c5e6abf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C:\Users\lenovo\Desktop\9c5e6abf60.jpg"/>
                    <pic:cNvPicPr>
                      <a:picLocks noChangeAspect="1"/>
                    </pic:cNvPicPr>
                  </pic:nvPicPr>
                  <pic:blipFill>
                    <a:blip r:embed="rId10"/>
                    <a:stretch>
                      <a:fillRect/>
                    </a:stretch>
                  </pic:blipFill>
                  <pic:spPr>
                    <a:xfrm>
                      <a:off x="0" y="0"/>
                      <a:ext cx="1818005" cy="2362835"/>
                    </a:xfrm>
                    <a:prstGeom prst="rect">
                      <a:avLst/>
                    </a:prstGeom>
                    <a:noFill/>
                    <a:ln>
                      <a:noFill/>
                    </a:ln>
                  </pic:spPr>
                </pic:pic>
              </a:graphicData>
            </a:graphic>
          </wp:inline>
        </w:drawing>
      </w:r>
      <w:r>
        <w:rPr>
          <w:rFonts w:hint="eastAsia" w:ascii="仿宋" w:hAnsi="仿宋" w:eastAsia="仿宋" w:cs="仿宋"/>
          <w:sz w:val="18"/>
          <w:szCs w:val="18"/>
        </w:rPr>
        <w:t>石墨烯林业应用创新团队考察荒漠治理</w:t>
      </w:r>
    </w:p>
    <w:p>
      <w:pPr>
        <w:ind w:firstLine="560" w:firstLineChars="200"/>
        <w:rPr>
          <w:rFonts w:ascii="仿宋" w:hAnsi="仿宋" w:eastAsia="仿宋" w:cs="仿宋"/>
          <w:sz w:val="28"/>
          <w:szCs w:val="28"/>
        </w:rPr>
      </w:pPr>
    </w:p>
    <w:p>
      <w:pPr>
        <w:jc w:val="center"/>
        <w:rPr>
          <w:rFonts w:ascii="仿宋" w:hAnsi="仿宋" w:eastAsia="仿宋" w:cs="仿宋"/>
          <w:sz w:val="18"/>
          <w:szCs w:val="18"/>
        </w:rPr>
      </w:pPr>
      <w:r>
        <w:rPr>
          <w:rFonts w:ascii="仿宋" w:hAnsi="仿宋" w:eastAsia="仿宋" w:cs="仿宋"/>
          <w:sz w:val="18"/>
          <w:szCs w:val="18"/>
        </w:rPr>
        <w:drawing>
          <wp:inline distT="0" distB="0" distL="114300" distR="114300">
            <wp:extent cx="3587750" cy="2148840"/>
            <wp:effectExtent l="0" t="0" r="12700" b="381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1"/>
                    <a:stretch>
                      <a:fillRect/>
                    </a:stretch>
                  </pic:blipFill>
                  <pic:spPr>
                    <a:xfrm>
                      <a:off x="0" y="0"/>
                      <a:ext cx="3587750" cy="2148840"/>
                    </a:xfrm>
                    <a:prstGeom prst="rect">
                      <a:avLst/>
                    </a:prstGeom>
                    <a:noFill/>
                    <a:ln>
                      <a:noFill/>
                    </a:ln>
                  </pic:spPr>
                </pic:pic>
              </a:graphicData>
            </a:graphic>
          </wp:inline>
        </w:drawing>
      </w:r>
    </w:p>
    <w:p>
      <w:pPr>
        <w:jc w:val="center"/>
        <w:rPr>
          <w:rFonts w:ascii="仿宋" w:hAnsi="仿宋" w:eastAsia="仿宋" w:cs="仿宋"/>
          <w:sz w:val="18"/>
          <w:szCs w:val="18"/>
        </w:rPr>
      </w:pPr>
      <w:r>
        <w:rPr>
          <w:rFonts w:hint="eastAsia" w:ascii="仿宋" w:hAnsi="仿宋" w:eastAsia="仿宋" w:cs="仿宋"/>
          <w:sz w:val="18"/>
          <w:szCs w:val="18"/>
        </w:rPr>
        <w:t>研究生进行科学实验</w:t>
      </w:r>
    </w:p>
    <w:p>
      <w:bookmarkStart w:id="2" w:name="_GoBack"/>
      <w:bookmarkEnd w:id="2"/>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I1ZTVjZmNjYjkyNTM1ZGEyNmJlOWJjNTRiYmVhZGQifQ=="/>
  </w:docVars>
  <w:rsids>
    <w:rsidRoot w:val="5690783C"/>
    <w:rsid w:val="569078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2022-09-05T01:31:00Z</dcterms:created>
  <dc:creator>Kikyo</dc:creator>
  <cp:lastModifiedBy>Kikyo</cp:lastModifiedBy>
  <dcterms:modified xsi:type="dcterms:W3CDTF">2022-09-05T01:32:12Z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EA1B3F4E75F14C25994FF8C366716766</vt:lpwstr>
  </property>
</Properties>
</file>