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AA4" w:rsidRPr="00FE5E07" w:rsidRDefault="004D3AA4" w:rsidP="004D3AA4">
      <w:pPr>
        <w:rPr>
          <w:rFonts w:ascii="仿宋" w:eastAsia="仿宋" w:hAnsi="仿宋" w:cs="宋体"/>
          <w:color w:val="auto"/>
          <w:sz w:val="32"/>
          <w:szCs w:val="32"/>
          <w:lang w:eastAsia="zh-CN"/>
        </w:rPr>
      </w:pPr>
      <w:r w:rsidRPr="00FE5E07">
        <w:rPr>
          <w:rFonts w:ascii="仿宋" w:eastAsia="仿宋" w:hAnsi="仿宋" w:cs="宋体" w:hint="eastAsia"/>
          <w:color w:val="auto"/>
          <w:sz w:val="32"/>
          <w:szCs w:val="32"/>
          <w:lang w:eastAsia="zh-CN"/>
        </w:rPr>
        <w:t>附件一：</w:t>
      </w:r>
    </w:p>
    <w:p w:rsidR="004D3AA4" w:rsidRDefault="004D3AA4" w:rsidP="004D3AA4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</w:pPr>
      <w:bookmarkStart w:id="0" w:name="_Hlk88834883"/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中南</w:t>
      </w:r>
      <w:proofErr w:type="gramStart"/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财经政法</w:t>
      </w:r>
      <w:proofErr w:type="gramEnd"/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大学</w:t>
      </w:r>
      <w:r w:rsidRPr="00276C60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推免</w:t>
      </w:r>
      <w:r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生</w:t>
      </w:r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应征入伍服兵役</w:t>
      </w:r>
    </w:p>
    <w:p w:rsidR="004D3AA4" w:rsidRDefault="004D3AA4" w:rsidP="004D3AA4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</w:pPr>
      <w:r w:rsidRPr="00FE5E07">
        <w:rPr>
          <w:rFonts w:ascii="仿宋" w:eastAsia="仿宋" w:hAnsi="仿宋" w:hint="eastAsia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  <w:t>奖励加分实施细则（试行）</w:t>
      </w:r>
      <w:bookmarkEnd w:id="0"/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学校本科生（含新生，以下简称学生）应征入伍服兵役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且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符合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推免生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基本条件的，除享受国家统一规定的优惠政策外，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还可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享受以下奖励加分政策。</w:t>
      </w:r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一、学生应征入伍后，圆满履行兵役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义务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，可获奖励加分2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0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。</w:t>
      </w:r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二、学生应征入伍服兵役期间参加军事演习、抢险救灾、警卫安保、应急处突等获得纪念章、纪念证书，1次可获奖励加分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25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分，2次及以上可获奖励加分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三、学生应征入伍服兵役期间被评为优秀士兵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，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或者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被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旅（团）级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及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以上单位评为先进个人，1次可获奖励加分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分，2次可获奖励加分4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0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四、学生应征入伍服兵役期间荣立三等功及以上奖励，或者被旅（团）级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及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以上单位评为军事训练标兵，可获奖励加分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40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分。其中，学生所在集体荣立三等功及以上奖励，个人可获奖励加分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学生符合上述奖励加分政策，其中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一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二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三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四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项原则上只取一项，累计奖励加分不得超过4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0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分。</w:t>
      </w:r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以上奖励加分，依据学校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、学院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有关规定</w:t>
      </w:r>
      <w:proofErr w:type="gramStart"/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汇总再</w:t>
      </w:r>
      <w:proofErr w:type="gramEnd"/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按1</w:t>
      </w:r>
      <w:r w:rsidRPr="00FE5E07"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5</w:t>
      </w: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%折算后加入综合评定成绩。</w:t>
      </w:r>
    </w:p>
    <w:p w:rsidR="004D3AA4" w:rsidRPr="00FE5E07" w:rsidRDefault="004D3AA4" w:rsidP="004D3AA4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以上如有未尽事宜，以人民武装</w:t>
      </w:r>
      <w:proofErr w:type="gramStart"/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部解释</w:t>
      </w:r>
      <w:proofErr w:type="gramEnd"/>
      <w:r w:rsidRPr="00FE5E07"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为准。</w:t>
      </w:r>
    </w:p>
    <w:p w:rsidR="00A662EF" w:rsidRDefault="004D3AA4">
      <w:pPr>
        <w:rPr>
          <w:lang w:eastAsia="zh-CN"/>
        </w:rPr>
      </w:pPr>
      <w:bookmarkStart w:id="1" w:name="_GoBack"/>
      <w:bookmarkEnd w:id="1"/>
    </w:p>
    <w:sectPr w:rsidR="00A6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A4"/>
    <w:rsid w:val="001E7B2C"/>
    <w:rsid w:val="004D3AA4"/>
    <w:rsid w:val="005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E6E06-670A-4FB5-AB39-0FAA25F4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D3AA4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王运达</dc:creator>
  <cp:keywords/>
  <dc:description/>
  <cp:lastModifiedBy>王运达</cp:lastModifiedBy>
  <cp:revision>1</cp:revision>
  <dcterms:created xsi:type="dcterms:W3CDTF">2021-11-30T00:39:00Z</dcterms:created>
  <dcterms:modified xsi:type="dcterms:W3CDTF">2021-11-30T00:39:00Z</dcterms:modified>
</cp:coreProperties>
</file>