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napToGrid w:val="0"/>
        <w:spacing w:line="560" w:lineRule="exact"/>
        <w:jc w:val="left"/>
        <w:rPr>
          <w:rFonts w:ascii="黑体" w:hAnsi="黑体" w:eastAsia="黑体" w:cs="Times New Roman"/>
          <w:bCs/>
          <w:color w:val="000000" w:themeColor="text1"/>
          <w:sz w:val="32"/>
          <w:szCs w:val="32"/>
          <w14:textFill>
            <w14:solidFill>
              <w14:schemeClr w14:val="tx1"/>
            </w14:solidFill>
          </w14:textFill>
        </w:rPr>
      </w:pPr>
      <w:r>
        <w:rPr>
          <w:rFonts w:hint="eastAsia" w:ascii="黑体" w:hAnsi="黑体" w:eastAsia="黑体" w:cs="Times New Roman"/>
          <w:bCs/>
          <w:color w:val="000000" w:themeColor="text1"/>
          <w:sz w:val="32"/>
          <w:szCs w:val="32"/>
          <w14:textFill>
            <w14:solidFill>
              <w14:schemeClr w14:val="tx1"/>
            </w14:solidFill>
          </w14:textFill>
        </w:rPr>
        <w:t>附件</w:t>
      </w:r>
    </w:p>
    <w:p>
      <w:pPr>
        <w:overflowPunct w:val="0"/>
        <w:spacing w:line="560" w:lineRule="exact"/>
        <w:jc w:val="center"/>
        <w:rPr>
          <w:rFonts w:ascii="Times New Roman" w:hAnsi="Times New Roman" w:eastAsia="方正小标宋简体"/>
          <w:b/>
          <w:sz w:val="44"/>
          <w:szCs w:val="44"/>
        </w:rPr>
      </w:pPr>
    </w:p>
    <w:p>
      <w:pPr>
        <w:overflowPunct w:val="0"/>
        <w:spacing w:line="560" w:lineRule="exact"/>
        <w:jc w:val="center"/>
        <w:rPr>
          <w:rFonts w:ascii="Times New Roman" w:hAnsi="Times New Roman" w:eastAsia="方正小标宋简体"/>
          <w:sz w:val="44"/>
          <w:szCs w:val="44"/>
        </w:rPr>
      </w:pPr>
      <w:bookmarkStart w:id="1" w:name="_GoBack"/>
      <w:r>
        <w:rPr>
          <w:rFonts w:hint="eastAsia" w:ascii="Times New Roman" w:hAnsi="Times New Roman" w:eastAsia="方正小标宋简体"/>
          <w:sz w:val="44"/>
          <w:szCs w:val="44"/>
        </w:rPr>
        <w:t>全国专业学位水平评估实施方案</w:t>
      </w:r>
    </w:p>
    <w:bookmarkEnd w:id="1"/>
    <w:p>
      <w:pPr>
        <w:overflowPunct w:val="0"/>
        <w:snapToGrid w:val="0"/>
        <w:spacing w:line="56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p>
    <w:p>
      <w:pPr>
        <w:snapToGrid w:val="0"/>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为深入贯彻习近平总书记关于教育的重要论述和全国研究生教育会议精神，落实《深化新时代教育评价改革总体方案》《关于深化新时代教育督导体制机制改革的意见》《加快推进教育现代化实施方案（</w:t>
      </w:r>
      <w:r>
        <w:rPr>
          <w:rFonts w:ascii="Times New Roman" w:hAnsi="Times New Roman" w:eastAsia="仿宋_GB2312" w:cs="Times New Roman"/>
          <w:color w:val="000000" w:themeColor="text1"/>
          <w:sz w:val="32"/>
          <w:szCs w:val="32"/>
          <w14:textFill>
            <w14:solidFill>
              <w14:schemeClr w14:val="tx1"/>
            </w14:solidFill>
          </w14:textFill>
        </w:rPr>
        <w:t>2018-2022</w:t>
      </w:r>
      <w:r>
        <w:rPr>
          <w:rFonts w:hint="eastAsia" w:ascii="Times New Roman" w:hAnsi="Times New Roman" w:eastAsia="仿宋_GB2312" w:cs="Times New Roman"/>
          <w:color w:val="000000" w:themeColor="text1"/>
          <w:sz w:val="32"/>
          <w:szCs w:val="32"/>
          <w14:textFill>
            <w14:solidFill>
              <w14:schemeClr w14:val="tx1"/>
            </w14:solidFill>
          </w14:textFill>
        </w:rPr>
        <w:t>年）》《专业学位研究生教育发展方案（2</w:t>
      </w:r>
      <w:r>
        <w:rPr>
          <w:rFonts w:ascii="Times New Roman" w:hAnsi="Times New Roman" w:eastAsia="仿宋_GB2312" w:cs="Times New Roman"/>
          <w:color w:val="000000" w:themeColor="text1"/>
          <w:sz w:val="32"/>
          <w:szCs w:val="32"/>
          <w14:textFill>
            <w14:solidFill>
              <w14:schemeClr w14:val="tx1"/>
            </w14:solidFill>
          </w14:textFill>
        </w:rPr>
        <w:t>020</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2025</w:t>
      </w:r>
      <w:r>
        <w:rPr>
          <w:rFonts w:hint="eastAsia" w:ascii="Times New Roman" w:hAnsi="Times New Roman" w:eastAsia="仿宋_GB2312" w:cs="Times New Roman"/>
          <w:color w:val="000000" w:themeColor="text1"/>
          <w:sz w:val="32"/>
          <w:szCs w:val="32"/>
          <w14:textFill>
            <w14:solidFill>
              <w14:schemeClr w14:val="tx1"/>
            </w14:solidFill>
          </w14:textFill>
        </w:rPr>
        <w:t>）》等文件要求，</w:t>
      </w:r>
      <w:r>
        <w:rPr>
          <w:rFonts w:hint="eastAsia" w:ascii="Times New Roman" w:hAnsi="Times New Roman" w:eastAsia="仿宋_GB2312" w:cs="Times New Roman"/>
          <w:sz w:val="32"/>
          <w:szCs w:val="32"/>
        </w:rPr>
        <w:t>加强过程监督诊断、发挥督导评估作用，</w:t>
      </w:r>
      <w:r>
        <w:rPr>
          <w:rFonts w:hint="eastAsia" w:ascii="Times New Roman" w:hAnsi="Times New Roman" w:eastAsia="仿宋_GB2312" w:cs="Times New Roman"/>
          <w:color w:val="000000" w:themeColor="text1"/>
          <w:sz w:val="32"/>
          <w:szCs w:val="32"/>
          <w14:textFill>
            <w14:solidFill>
              <w14:schemeClr w14:val="tx1"/>
            </w14:solidFill>
          </w14:textFill>
        </w:rPr>
        <w:t>引导培养单位落实立德树人根本任务，遵循专业学位教育发展规律，加快推进新时代专业学位研究生教育高质量发展，在总结专业学位水平评估试点工作的基础上，制定此方案。</w:t>
      </w:r>
    </w:p>
    <w:p>
      <w:pPr>
        <w:snapToGrid w:val="0"/>
        <w:spacing w:line="600" w:lineRule="exact"/>
        <w:ind w:firstLine="640" w:firstLineChars="200"/>
        <w:rPr>
          <w:rFonts w:ascii="Times New Roman" w:hAnsi="Times New Roman" w:eastAsia="黑体" w:cs="Times New Roman"/>
          <w:bCs/>
          <w:color w:val="000000" w:themeColor="text1"/>
          <w:sz w:val="32"/>
          <w:szCs w:val="32"/>
          <w14:textFill>
            <w14:solidFill>
              <w14:schemeClr w14:val="tx1"/>
            </w14:solidFill>
          </w14:textFill>
        </w:rPr>
      </w:pPr>
      <w:r>
        <w:rPr>
          <w:rFonts w:hint="eastAsia" w:ascii="Times New Roman" w:hAnsi="Times New Roman" w:eastAsia="黑体" w:cs="Times New Roman"/>
          <w:bCs/>
          <w:color w:val="000000" w:themeColor="text1"/>
          <w:sz w:val="32"/>
          <w:szCs w:val="32"/>
          <w14:textFill>
            <w14:solidFill>
              <w14:schemeClr w14:val="tx1"/>
            </w14:solidFill>
          </w14:textFill>
        </w:rPr>
        <w:t>一、总体要求</w:t>
      </w:r>
    </w:p>
    <w:p>
      <w:pPr>
        <w:snapToGrid w:val="0"/>
        <w:spacing w:line="600" w:lineRule="exact"/>
        <w:ind w:firstLine="643" w:firstLineChars="200"/>
        <w:rPr>
          <w:rFonts w:ascii="Times New Roman" w:hAnsi="Times New Roman" w:eastAsia="楷体_GB2312" w:cs="Times New Roman"/>
          <w:b/>
          <w:bCs/>
          <w:color w:val="000000" w:themeColor="text1"/>
          <w:sz w:val="32"/>
          <w:szCs w:val="32"/>
          <w14:textFill>
            <w14:solidFill>
              <w14:schemeClr w14:val="tx1"/>
            </w14:solidFill>
          </w14:textFill>
        </w:rPr>
      </w:pPr>
      <w:r>
        <w:rPr>
          <w:rFonts w:hint="eastAsia" w:ascii="Times New Roman" w:hAnsi="Times New Roman" w:eastAsia="楷体_GB2312" w:cs="Times New Roman"/>
          <w:b/>
          <w:bCs/>
          <w:color w:val="000000" w:themeColor="text1"/>
          <w:sz w:val="32"/>
          <w:szCs w:val="32"/>
          <w14:textFill>
            <w14:solidFill>
              <w14:schemeClr w14:val="tx1"/>
            </w14:solidFill>
          </w14:textFill>
        </w:rPr>
        <w:t>（一）指导思想</w:t>
      </w:r>
    </w:p>
    <w:p>
      <w:pPr>
        <w:snapToGrid w:val="0"/>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以习近平新时代中国特色社会主义思想为指导，深入贯彻落实习近平总书记关于教育的重要论述和研究生教育工作的重要指示精神，紧紧围绕立德树人根本任务，坚持“四为”方针，遵循新时代教育评价改革要求，坚决克服“五唯”顽疾，以“质量、成效、特色、贡献”为导向，引导培养单位进一步明确定位、发挥特色、内涵发展，促进专业学位研究生教育主动适应国家发展重大战略、行业产业转型升级、当前及未来人才重大需求，培养德才兼备的高层次、应用型、复合型专门人才。</w:t>
      </w:r>
    </w:p>
    <w:p>
      <w:pPr>
        <w:snapToGrid w:val="0"/>
        <w:spacing w:line="600" w:lineRule="exact"/>
        <w:ind w:firstLine="643" w:firstLineChars="200"/>
        <w:rPr>
          <w:rFonts w:ascii="Times New Roman" w:hAnsi="Times New Roman" w:eastAsia="楷体_GB2312" w:cs="Times New Roman"/>
          <w:b/>
          <w:bCs/>
          <w:color w:val="000000" w:themeColor="text1"/>
          <w:sz w:val="32"/>
          <w:szCs w:val="32"/>
          <w14:textFill>
            <w14:solidFill>
              <w14:schemeClr w14:val="tx1"/>
            </w14:solidFill>
          </w14:textFill>
        </w:rPr>
      </w:pPr>
      <w:r>
        <w:rPr>
          <w:rFonts w:hint="eastAsia" w:ascii="Times New Roman" w:hAnsi="Times New Roman" w:eastAsia="楷体_GB2312" w:cs="Times New Roman"/>
          <w:b/>
          <w:bCs/>
          <w:color w:val="000000" w:themeColor="text1"/>
          <w:sz w:val="32"/>
          <w:szCs w:val="32"/>
          <w14:textFill>
            <w14:solidFill>
              <w14:schemeClr w14:val="tx1"/>
            </w14:solidFill>
          </w14:textFill>
        </w:rPr>
        <w:t>（二）工作目标</w:t>
      </w:r>
    </w:p>
    <w:p>
      <w:pPr>
        <w:snapToGrid w:val="0"/>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全面落实立德树人根本任务，把立德树人成效作为检验学校一切工作的根本标准。突出人才培养质量评价，以学生实践创新能力和职业胜任能力为核心，推动专业学位人才培养模式改革；强化行业需求导向，重视用人单位反馈评价，推动人才培养与行业发展交融互促；发挥评估诊断、改进、督导作用，促进培养单位找差距、补不足，推动我国专业学位研究生教育高质量、内涵式发展；推进评价改革，构建和完善符合专业学位发展规律、具有时代特征、彰显中国特色的专业学位水平评估体系。</w:t>
      </w:r>
    </w:p>
    <w:p>
      <w:pPr>
        <w:snapToGrid w:val="0"/>
        <w:spacing w:line="600" w:lineRule="exact"/>
        <w:ind w:firstLine="643" w:firstLineChars="200"/>
        <w:rPr>
          <w:rFonts w:ascii="Times New Roman" w:hAnsi="Times New Roman" w:eastAsia="楷体_GB2312" w:cs="Times New Roman"/>
          <w:b/>
          <w:bCs/>
          <w:color w:val="000000" w:themeColor="text1"/>
          <w:sz w:val="32"/>
          <w:szCs w:val="32"/>
          <w14:textFill>
            <w14:solidFill>
              <w14:schemeClr w14:val="tx1"/>
            </w14:solidFill>
          </w14:textFill>
        </w:rPr>
      </w:pPr>
      <w:r>
        <w:rPr>
          <w:rFonts w:hint="eastAsia" w:ascii="Times New Roman" w:hAnsi="Times New Roman" w:eastAsia="楷体_GB2312" w:cs="Times New Roman"/>
          <w:b/>
          <w:bCs/>
          <w:color w:val="000000" w:themeColor="text1"/>
          <w:sz w:val="32"/>
          <w:szCs w:val="32"/>
          <w14:textFill>
            <w14:solidFill>
              <w14:schemeClr w14:val="tx1"/>
            </w14:solidFill>
          </w14:textFill>
        </w:rPr>
        <w:t>（三）基本原则</w:t>
      </w:r>
    </w:p>
    <w:p>
      <w:pPr>
        <w:autoSpaceDE w:val="0"/>
        <w:autoSpaceDN w:val="0"/>
        <w:adjustRightInd w:val="0"/>
        <w:snapToGrid w:val="0"/>
        <w:spacing w:line="600" w:lineRule="exact"/>
        <w:ind w:firstLine="643"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b/>
          <w:bCs/>
          <w:color w:val="000000" w:themeColor="text1"/>
          <w:sz w:val="32"/>
          <w:szCs w:val="32"/>
          <w14:textFill>
            <w14:solidFill>
              <w14:schemeClr w14:val="tx1"/>
            </w14:solidFill>
          </w14:textFill>
        </w:rPr>
        <w:t>一是聚焦立德树人，突出职业道德。</w:t>
      </w:r>
      <w:r>
        <w:rPr>
          <w:rFonts w:hint="eastAsia" w:ascii="Times New Roman" w:hAnsi="Times New Roman" w:eastAsia="仿宋_GB2312" w:cs="Times New Roman"/>
          <w:color w:val="000000" w:themeColor="text1"/>
          <w:sz w:val="32"/>
          <w:szCs w:val="32"/>
          <w14:textFill>
            <w14:solidFill>
              <w14:schemeClr w14:val="tx1"/>
            </w14:solidFill>
          </w14:textFill>
        </w:rPr>
        <w:t>强调思政教育成效，突出体现职业道德和职业伦理教育，推动构建一体化育人体系，将立德树人根本任务落地、落细、落实。</w:t>
      </w:r>
    </w:p>
    <w:p>
      <w:pPr>
        <w:snapToGrid w:val="0"/>
        <w:spacing w:line="600" w:lineRule="exact"/>
        <w:ind w:firstLine="643"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b/>
          <w:bCs/>
          <w:color w:val="000000" w:themeColor="text1"/>
          <w:sz w:val="32"/>
          <w:szCs w:val="32"/>
          <w14:textFill>
            <w14:solidFill>
              <w14:schemeClr w14:val="tx1"/>
            </w14:solidFill>
          </w14:textFill>
        </w:rPr>
        <w:t>二是聚焦培养质量，强化特色定位。</w:t>
      </w:r>
      <w:r>
        <w:rPr>
          <w:rFonts w:hint="eastAsia" w:ascii="Times New Roman" w:hAnsi="Times New Roman" w:eastAsia="仿宋_GB2312" w:cs="Times New Roman"/>
          <w:color w:val="000000" w:themeColor="text1"/>
          <w:sz w:val="32"/>
          <w:szCs w:val="32"/>
          <w14:textFill>
            <w14:solidFill>
              <w14:schemeClr w14:val="tx1"/>
            </w14:solidFill>
          </w14:textFill>
        </w:rPr>
        <w:t>突出专业学位高层次、应用型、复合型专门人才培养要求，强化分类评价，引导培养单位明确定位、发挥特色、内涵发展，促进专业学位人才培养模式改革。</w:t>
      </w:r>
    </w:p>
    <w:p>
      <w:pPr>
        <w:snapToGrid w:val="0"/>
        <w:spacing w:line="600" w:lineRule="exact"/>
        <w:ind w:firstLine="643"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b/>
          <w:bCs/>
          <w:color w:val="000000" w:themeColor="text1"/>
          <w:sz w:val="32"/>
          <w:szCs w:val="32"/>
          <w14:textFill>
            <w14:solidFill>
              <w14:schemeClr w14:val="tx1"/>
            </w14:solidFill>
          </w14:textFill>
        </w:rPr>
        <w:t>三是聚焦行业需求，强调职业胜任。</w:t>
      </w:r>
      <w:r>
        <w:rPr>
          <w:rFonts w:hint="eastAsia" w:ascii="Times New Roman" w:hAnsi="Times New Roman" w:eastAsia="仿宋_GB2312" w:cs="Times New Roman"/>
          <w:color w:val="000000" w:themeColor="text1"/>
          <w:sz w:val="32"/>
          <w:szCs w:val="32"/>
          <w14:textFill>
            <w14:solidFill>
              <w14:schemeClr w14:val="tx1"/>
            </w14:solidFill>
          </w14:textFill>
        </w:rPr>
        <w:t>重视考察人才</w:t>
      </w:r>
      <w:r>
        <w:rPr>
          <w:rFonts w:ascii="Times New Roman" w:hAnsi="Times New Roman" w:eastAsia="仿宋_GB2312" w:cs="Times New Roman"/>
          <w:color w:val="000000" w:themeColor="text1"/>
          <w:sz w:val="32"/>
          <w:szCs w:val="32"/>
          <w14:textFill>
            <w14:solidFill>
              <w14:schemeClr w14:val="tx1"/>
            </w14:solidFill>
          </w14:textFill>
        </w:rPr>
        <w:t>培养</w:t>
      </w:r>
      <w:r>
        <w:rPr>
          <w:rFonts w:hint="eastAsia" w:ascii="Times New Roman" w:hAnsi="Times New Roman" w:eastAsia="仿宋_GB2312" w:cs="Times New Roman"/>
          <w:color w:val="000000" w:themeColor="text1"/>
          <w:sz w:val="32"/>
          <w:szCs w:val="32"/>
          <w14:textFill>
            <w14:solidFill>
              <w14:schemeClr w14:val="tx1"/>
            </w14:solidFill>
          </w14:textFill>
        </w:rPr>
        <w:t>与社会需求的契合度、学生的职业胜任能力和用人单位的满意度，</w:t>
      </w:r>
      <w:r>
        <w:rPr>
          <w:rFonts w:hint="eastAsia" w:ascii="Times New Roman" w:hAnsi="Times New Roman" w:eastAsia="仿宋_GB2312" w:cs="Times New Roman"/>
          <w:sz w:val="32"/>
          <w:szCs w:val="32"/>
        </w:rPr>
        <w:t>检验人才培养与行业需求的衔接情况，推动进一步</w:t>
      </w:r>
      <w:r>
        <w:rPr>
          <w:rFonts w:ascii="Times New Roman" w:hAnsi="Times New Roman" w:eastAsia="仿宋_GB2312" w:cs="Times New Roman"/>
          <w:sz w:val="32"/>
          <w:szCs w:val="32"/>
        </w:rPr>
        <w:t>健全</w:t>
      </w:r>
      <w:r>
        <w:rPr>
          <w:rFonts w:hint="eastAsia" w:ascii="Times New Roman" w:hAnsi="Times New Roman" w:eastAsia="仿宋_GB2312" w:cs="Times New Roman"/>
          <w:sz w:val="32"/>
          <w:szCs w:val="32"/>
        </w:rPr>
        <w:t>专业学位产教融合培养</w:t>
      </w:r>
      <w:r>
        <w:rPr>
          <w:rFonts w:ascii="Times New Roman" w:hAnsi="Times New Roman" w:eastAsia="仿宋_GB2312" w:cs="Times New Roman"/>
          <w:sz w:val="32"/>
          <w:szCs w:val="32"/>
        </w:rPr>
        <w:t>机制</w:t>
      </w:r>
      <w:r>
        <w:rPr>
          <w:rFonts w:hint="eastAsia" w:ascii="Times New Roman" w:hAnsi="Times New Roman" w:eastAsia="仿宋_GB2312" w:cs="Times New Roman"/>
          <w:sz w:val="32"/>
          <w:szCs w:val="32"/>
        </w:rPr>
        <w:t>。</w:t>
      </w:r>
    </w:p>
    <w:p>
      <w:pPr>
        <w:autoSpaceDE w:val="0"/>
        <w:autoSpaceDN w:val="0"/>
        <w:adjustRightInd w:val="0"/>
        <w:snapToGrid w:val="0"/>
        <w:spacing w:line="600" w:lineRule="exact"/>
        <w:ind w:firstLine="640" w:firstLineChars="200"/>
        <w:rPr>
          <w:rFonts w:ascii="Times New Roman" w:hAnsi="Times New Roman" w:eastAsia="方正仿宋简体" w:cs="Times New Roman"/>
          <w:b/>
          <w:sz w:val="32"/>
          <w:szCs w:val="32"/>
        </w:rPr>
      </w:pPr>
      <w:r>
        <w:rPr>
          <w:rFonts w:hint="eastAsia" w:ascii="Times New Roman" w:hAnsi="Times New Roman" w:eastAsia="黑体"/>
          <w:sz w:val="32"/>
          <w:szCs w:val="32"/>
        </w:rPr>
        <w:t>二、评估重点内容</w:t>
      </w:r>
    </w:p>
    <w:p>
      <w:pPr>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以人才培养质量为核心，围绕“教、学、做”三个层面，构建教学质量、学习质量、职业发展质量三维度评价体系。指标体系共包括</w:t>
      </w:r>
      <w:r>
        <w:rPr>
          <w:rFonts w:ascii="Times New Roman" w:hAnsi="Times New Roman" w:eastAsia="仿宋_GB2312" w:cs="Times New Roman"/>
          <w:color w:val="000000" w:themeColor="text1"/>
          <w:sz w:val="32"/>
          <w:szCs w:val="32"/>
          <w14:textFill>
            <w14:solidFill>
              <w14:schemeClr w14:val="tx1"/>
            </w14:solidFill>
          </w14:textFill>
        </w:rPr>
        <w:t>3</w:t>
      </w:r>
      <w:r>
        <w:rPr>
          <w:rFonts w:hint="eastAsia" w:ascii="Times New Roman" w:hAnsi="Times New Roman" w:eastAsia="仿宋_GB2312" w:cs="Times New Roman"/>
          <w:color w:val="000000" w:themeColor="text1"/>
          <w:sz w:val="32"/>
          <w:szCs w:val="32"/>
          <w14:textFill>
            <w14:solidFill>
              <w14:schemeClr w14:val="tx1"/>
            </w14:solidFill>
          </w14:textFill>
        </w:rPr>
        <w:t>项一级指标、</w:t>
      </w:r>
      <w:r>
        <w:rPr>
          <w:rFonts w:ascii="Times New Roman" w:hAnsi="Times New Roman" w:eastAsia="仿宋_GB2312" w:cs="Times New Roman"/>
          <w:color w:val="000000" w:themeColor="text1"/>
          <w:sz w:val="32"/>
          <w:szCs w:val="32"/>
          <w14:textFill>
            <w14:solidFill>
              <w14:schemeClr w14:val="tx1"/>
            </w14:solidFill>
          </w14:textFill>
        </w:rPr>
        <w:t>9</w:t>
      </w:r>
      <w:r>
        <w:rPr>
          <w:rFonts w:hint="eastAsia" w:ascii="Times New Roman" w:hAnsi="Times New Roman" w:eastAsia="仿宋_GB2312" w:cs="Times New Roman"/>
          <w:color w:val="000000" w:themeColor="text1"/>
          <w:sz w:val="32"/>
          <w:szCs w:val="32"/>
          <w14:textFill>
            <w14:solidFill>
              <w14:schemeClr w14:val="tx1"/>
            </w14:solidFill>
          </w14:textFill>
        </w:rPr>
        <w:t>项二级指标、</w:t>
      </w:r>
      <w:r>
        <w:rPr>
          <w:rFonts w:ascii="Times New Roman" w:hAnsi="Times New Roman" w:eastAsia="仿宋_GB2312" w:cs="Times New Roman"/>
          <w:color w:val="000000" w:themeColor="text1"/>
          <w:sz w:val="32"/>
          <w:szCs w:val="32"/>
          <w14:textFill>
            <w14:solidFill>
              <w14:schemeClr w14:val="tx1"/>
            </w14:solidFill>
          </w14:textFill>
        </w:rPr>
        <w:t>15-16</w:t>
      </w:r>
      <w:r>
        <w:rPr>
          <w:rFonts w:hint="eastAsia" w:ascii="Times New Roman" w:hAnsi="Times New Roman" w:eastAsia="仿宋_GB2312" w:cs="Times New Roman"/>
          <w:color w:val="000000" w:themeColor="text1"/>
          <w:sz w:val="32"/>
          <w:szCs w:val="32"/>
          <w14:textFill>
            <w14:solidFill>
              <w14:schemeClr w14:val="tx1"/>
            </w14:solidFill>
          </w14:textFill>
        </w:rPr>
        <w:t>项三级指标，重点考察以下内容。</w:t>
      </w:r>
    </w:p>
    <w:p>
      <w:pPr>
        <w:snapToGrid w:val="0"/>
        <w:spacing w:line="600" w:lineRule="exact"/>
        <w:ind w:firstLine="643" w:firstLineChars="200"/>
        <w:rPr>
          <w:rFonts w:ascii="Times New Roman" w:hAnsi="Times New Roman" w:eastAsia="楷体_GB2312" w:cs="Times New Roman"/>
          <w:b/>
          <w:bCs/>
          <w:color w:val="000000" w:themeColor="text1"/>
          <w:sz w:val="32"/>
          <w:szCs w:val="32"/>
          <w14:textFill>
            <w14:solidFill>
              <w14:schemeClr w14:val="tx1"/>
            </w14:solidFill>
          </w14:textFill>
        </w:rPr>
      </w:pPr>
      <w:r>
        <w:rPr>
          <w:rFonts w:hint="eastAsia" w:ascii="Times New Roman" w:hAnsi="Times New Roman" w:eastAsia="楷体_GB2312" w:cs="Times New Roman"/>
          <w:b/>
          <w:bCs/>
          <w:color w:val="000000" w:themeColor="text1"/>
          <w:sz w:val="32"/>
          <w:szCs w:val="32"/>
          <w14:textFill>
            <w14:solidFill>
              <w14:schemeClr w14:val="tx1"/>
            </w14:solidFill>
          </w14:textFill>
        </w:rPr>
        <w:t>（一）教学质量</w:t>
      </w:r>
    </w:p>
    <w:p>
      <w:pPr>
        <w:snapToGrid w:val="0"/>
        <w:spacing w:line="600" w:lineRule="exact"/>
        <w:ind w:firstLine="643"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b/>
          <w:bCs/>
          <w:color w:val="000000" w:themeColor="text1"/>
          <w:sz w:val="32"/>
          <w:szCs w:val="32"/>
          <w14:textFill>
            <w14:solidFill>
              <w14:schemeClr w14:val="tx1"/>
            </w14:solidFill>
          </w14:textFill>
        </w:rPr>
        <w:t>1. 思政教育特色与成效。</w:t>
      </w:r>
      <w:r>
        <w:rPr>
          <w:rFonts w:hint="eastAsia" w:ascii="Times New Roman" w:hAnsi="Times New Roman" w:eastAsia="仿宋_GB2312" w:cs="Times New Roman"/>
          <w:color w:val="000000" w:themeColor="text1"/>
          <w:sz w:val="32"/>
          <w:szCs w:val="32"/>
          <w14:textFill>
            <w14:solidFill>
              <w14:schemeClr w14:val="tx1"/>
            </w14:solidFill>
          </w14:textFill>
        </w:rPr>
        <w:t>坚持把思政教育放在人才培养首位，加强思政教育成效评价，重点考察“三全育人”综合改革情况，展现培养单位在课程思政改革、意识形态阵地管理、基层党组织建设、思政队伍建设及实践育人等方面的特色做法及成效。强调职业道德与职业伦理教育评价，考察学生职业精神与社会责任感培养成效。</w:t>
      </w:r>
    </w:p>
    <w:p>
      <w:pPr>
        <w:adjustRightInd w:val="0"/>
        <w:snapToGrid w:val="0"/>
        <w:spacing w:line="600" w:lineRule="exact"/>
        <w:ind w:firstLine="643" w:firstLineChars="200"/>
        <w:rPr>
          <w:rFonts w:ascii="Times New Roman" w:hAnsi="Times New Roman" w:eastAsia="仿宋_GB2312" w:cs="Times New Roman"/>
          <w:b/>
          <w:color w:val="000000" w:themeColor="text1"/>
          <w:sz w:val="32"/>
          <w:szCs w:val="32"/>
          <w14:textFill>
            <w14:solidFill>
              <w14:schemeClr w14:val="tx1"/>
            </w14:solidFill>
          </w14:textFill>
        </w:rPr>
      </w:pPr>
      <w:r>
        <w:rPr>
          <w:rFonts w:hint="eastAsia" w:ascii="Times New Roman" w:hAnsi="Times New Roman" w:eastAsia="仿宋_GB2312" w:cs="Times New Roman"/>
          <w:b/>
          <w:bCs/>
          <w:color w:val="000000" w:themeColor="text1"/>
          <w:sz w:val="32"/>
          <w:szCs w:val="32"/>
          <w14:textFill>
            <w14:solidFill>
              <w14:schemeClr w14:val="tx1"/>
            </w14:solidFill>
          </w14:textFill>
        </w:rPr>
        <w:t>2</w:t>
      </w:r>
      <w:r>
        <w:rPr>
          <w:rFonts w:ascii="Times New Roman" w:hAnsi="Times New Roman" w:eastAsia="仿宋_GB2312" w:cs="Times New Roman"/>
          <w:b/>
          <w:bCs/>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b/>
          <w:bCs/>
          <w:color w:val="000000" w:themeColor="text1"/>
          <w:sz w:val="32"/>
          <w:szCs w:val="32"/>
          <w14:textFill>
            <w14:solidFill>
              <w14:schemeClr w14:val="tx1"/>
            </w14:solidFill>
          </w14:textFill>
        </w:rPr>
        <w:t>课程与实践教学质量。</w:t>
      </w:r>
      <w:r>
        <w:rPr>
          <w:rFonts w:hint="eastAsia" w:ascii="Times New Roman" w:hAnsi="Times New Roman" w:eastAsia="仿宋_GB2312" w:cs="Times New Roman"/>
          <w:color w:val="000000" w:themeColor="text1"/>
          <w:sz w:val="32"/>
          <w:szCs w:val="32"/>
          <w14:textFill>
            <w14:solidFill>
              <w14:schemeClr w14:val="tx1"/>
            </w14:solidFill>
          </w14:textFill>
        </w:rPr>
        <w:t>强调课程教学与学生实践创新能力培养的有机融合，重点考察课程体系建设、校外资源参与教学、案例教学应用与开发建设等方面的情况，以及对学生应用能力和职业能力培养的支撑成效。强调专业实践质量评价，重点考察实践基地实际使用及支撑专业学位人才培养的实效。强调师资队伍质量评价，重点考察师德师风机制与成效、校内外师资总体充裕性和结构合理性、代表性导师的实践教学能力以及指导学生投入度和效果等</w:t>
      </w:r>
      <w:r>
        <w:rPr>
          <w:rFonts w:hint="eastAsia" w:ascii="仿宋_GB2312" w:hAnsi="Times New Roman" w:eastAsia="仿宋_GB2312" w:cs="Times New Roman"/>
          <w:color w:val="000000" w:themeColor="text1"/>
          <w:sz w:val="32"/>
          <w:szCs w:val="32"/>
          <w14:textFill>
            <w14:solidFill>
              <w14:schemeClr w14:val="tx1"/>
            </w14:solidFill>
          </w14:textFill>
        </w:rPr>
        <w:t>。</w:t>
      </w:r>
    </w:p>
    <w:p>
      <w:pPr>
        <w:snapToGrid w:val="0"/>
        <w:spacing w:line="600" w:lineRule="exact"/>
        <w:ind w:firstLine="643"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b/>
          <w:bCs/>
          <w:color w:val="000000" w:themeColor="text1"/>
          <w:sz w:val="32"/>
          <w:szCs w:val="32"/>
          <w14:textFill>
            <w14:solidFill>
              <w14:schemeClr w14:val="tx1"/>
            </w14:solidFill>
          </w14:textFill>
        </w:rPr>
        <w:t>3</w:t>
      </w:r>
      <w:r>
        <w:rPr>
          <w:rFonts w:ascii="Times New Roman" w:hAnsi="Times New Roman" w:eastAsia="仿宋_GB2312" w:cs="Times New Roman"/>
          <w:b/>
          <w:bCs/>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b/>
          <w:bCs/>
          <w:color w:val="000000" w:themeColor="text1"/>
          <w:sz w:val="32"/>
          <w:szCs w:val="32"/>
          <w14:textFill>
            <w14:solidFill>
              <w14:schemeClr w14:val="tx1"/>
            </w14:solidFill>
          </w14:textFill>
        </w:rPr>
        <w:t>学生满意度。</w:t>
      </w:r>
      <w:r>
        <w:rPr>
          <w:rFonts w:hint="eastAsia" w:ascii="Times New Roman" w:hAnsi="Times New Roman" w:eastAsia="仿宋_GB2312" w:cs="Times New Roman"/>
          <w:color w:val="000000" w:themeColor="text1"/>
          <w:sz w:val="32"/>
          <w:szCs w:val="32"/>
          <w14:textFill>
            <w14:solidFill>
              <w14:schemeClr w14:val="tx1"/>
            </w14:solidFill>
          </w14:textFill>
        </w:rPr>
        <w:t>通过问卷调查，考察学生对思政教育、课程与实践教学、导师指导的整体满意度。</w:t>
      </w:r>
    </w:p>
    <w:p>
      <w:pPr>
        <w:snapToGrid w:val="0"/>
        <w:spacing w:line="600" w:lineRule="exact"/>
        <w:ind w:firstLine="643"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b/>
          <w:bCs/>
          <w:color w:val="000000" w:themeColor="text1"/>
          <w:sz w:val="32"/>
          <w:szCs w:val="32"/>
          <w14:textFill>
            <w14:solidFill>
              <w14:schemeClr w14:val="tx1"/>
            </w14:solidFill>
          </w14:textFill>
        </w:rPr>
        <w:t>4</w:t>
      </w:r>
      <w:r>
        <w:rPr>
          <w:rFonts w:ascii="Times New Roman" w:hAnsi="Times New Roman" w:eastAsia="仿宋_GB2312" w:cs="Times New Roman"/>
          <w:b/>
          <w:bCs/>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b/>
          <w:bCs/>
          <w:color w:val="000000" w:themeColor="text1"/>
          <w:sz w:val="32"/>
          <w:szCs w:val="32"/>
          <w14:textFill>
            <w14:solidFill>
              <w14:schemeClr w14:val="tx1"/>
            </w14:solidFill>
          </w14:textFill>
        </w:rPr>
        <w:t>培养方案与特色。</w:t>
      </w:r>
      <w:r>
        <w:rPr>
          <w:rFonts w:hint="eastAsia" w:ascii="Times New Roman" w:hAnsi="Times New Roman" w:eastAsia="仿宋_GB2312" w:cs="Times New Roman"/>
          <w:color w:val="000000" w:themeColor="text1"/>
          <w:sz w:val="32"/>
          <w:szCs w:val="32"/>
          <w14:textFill>
            <w14:solidFill>
              <w14:schemeClr w14:val="tx1"/>
            </w14:solidFill>
          </w14:textFill>
        </w:rPr>
        <w:t>强调特色定位与发展优势，重点考察各培养单位目标定位与社会需求的衔接情况、高水平研究成果与校外资源等培养资源对培养目标的支撑情况、培养方案与行业企业的协同情况。</w:t>
      </w:r>
    </w:p>
    <w:p>
      <w:pPr>
        <w:snapToGrid w:val="0"/>
        <w:spacing w:line="600" w:lineRule="exact"/>
        <w:ind w:firstLine="643" w:firstLineChars="200"/>
        <w:rPr>
          <w:rFonts w:ascii="Times New Roman" w:hAnsi="Times New Roman" w:eastAsia="楷体_GB2312" w:cs="Times New Roman"/>
          <w:b/>
          <w:bCs/>
          <w:color w:val="000000" w:themeColor="text1"/>
          <w:sz w:val="32"/>
          <w:szCs w:val="32"/>
          <w14:textFill>
            <w14:solidFill>
              <w14:schemeClr w14:val="tx1"/>
            </w14:solidFill>
          </w14:textFill>
        </w:rPr>
      </w:pPr>
      <w:r>
        <w:rPr>
          <w:rFonts w:hint="eastAsia" w:ascii="Times New Roman" w:hAnsi="Times New Roman" w:eastAsia="楷体_GB2312" w:cs="Times New Roman"/>
          <w:b/>
          <w:bCs/>
          <w:color w:val="000000" w:themeColor="text1"/>
          <w:sz w:val="32"/>
          <w:szCs w:val="32"/>
          <w14:textFill>
            <w14:solidFill>
              <w14:schemeClr w14:val="tx1"/>
            </w14:solidFill>
          </w14:textFill>
        </w:rPr>
        <w:t>（二）学习质量</w:t>
      </w:r>
    </w:p>
    <w:p>
      <w:pPr>
        <w:snapToGrid w:val="0"/>
        <w:spacing w:line="600" w:lineRule="exact"/>
        <w:ind w:firstLine="643"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14:textFill>
            <w14:solidFill>
              <w14:schemeClr w14:val="tx1"/>
            </w14:solidFill>
          </w14:textFill>
        </w:rPr>
        <w:t>5</w:t>
      </w:r>
      <w:r>
        <w:rPr>
          <w:rFonts w:ascii="Times New Roman" w:hAnsi="Times New Roman" w:eastAsia="仿宋_GB2312" w:cs="Times New Roman"/>
          <w:b/>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b/>
          <w:color w:val="000000" w:themeColor="text1"/>
          <w:sz w:val="32"/>
          <w:szCs w:val="32"/>
          <w14:textFill>
            <w14:solidFill>
              <w14:schemeClr w14:val="tx1"/>
            </w14:solidFill>
          </w14:textFill>
        </w:rPr>
        <w:t>在学成果。</w:t>
      </w:r>
      <w:r>
        <w:rPr>
          <w:rFonts w:hint="eastAsia" w:ascii="Times New Roman" w:hAnsi="Times New Roman" w:eastAsia="仿宋_GB2312" w:cs="Times New Roman"/>
          <w:color w:val="000000" w:themeColor="text1"/>
          <w:sz w:val="32"/>
          <w:szCs w:val="32"/>
          <w14:textFill>
            <w14:solidFill>
              <w14:schemeClr w14:val="tx1"/>
            </w14:solidFill>
          </w14:textFill>
        </w:rPr>
        <w:t>强调学生综合运用知识解决实际问题的能力和在学成果的实践创新性，重点考察学生在学期间取得的案例分析、创新创业成果、设计、技能展示等应用性成果，强调专业学位论文的应用性和行业应用价值。针对体育、艺术、汉语国际教育等不同专业学位类别特点，在应用性成果、学位论文等方面分类设置考察内容。</w:t>
      </w:r>
    </w:p>
    <w:p>
      <w:pPr>
        <w:adjustRightInd w:val="0"/>
        <w:snapToGrid w:val="0"/>
        <w:spacing w:line="600" w:lineRule="exact"/>
        <w:ind w:firstLine="643" w:firstLineChars="200"/>
        <w:rPr>
          <w:rFonts w:ascii="Times New Roman" w:hAnsi="Times New Roman" w:eastAsia="仿宋_GB2312" w:cs="Times New Roman"/>
          <w:b/>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14:textFill>
            <w14:solidFill>
              <w14:schemeClr w14:val="tx1"/>
            </w14:solidFill>
          </w14:textFill>
        </w:rPr>
        <w:t>6</w:t>
      </w:r>
      <w:r>
        <w:rPr>
          <w:rFonts w:ascii="Times New Roman" w:hAnsi="Times New Roman" w:eastAsia="仿宋_GB2312" w:cs="Times New Roman"/>
          <w:b/>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b/>
          <w:color w:val="000000" w:themeColor="text1"/>
          <w:sz w:val="32"/>
          <w:szCs w:val="32"/>
          <w14:textFill>
            <w14:solidFill>
              <w14:schemeClr w14:val="tx1"/>
            </w14:solidFill>
          </w14:textFill>
        </w:rPr>
        <w:t>学生获得感。</w:t>
      </w:r>
      <w:r>
        <w:rPr>
          <w:rFonts w:hint="eastAsia" w:ascii="Times New Roman" w:hAnsi="Times New Roman" w:eastAsia="仿宋_GB2312" w:cs="Times New Roman"/>
          <w:color w:val="000000" w:themeColor="text1"/>
          <w:sz w:val="32"/>
          <w:szCs w:val="32"/>
          <w14:textFill>
            <w14:solidFill>
              <w14:schemeClr w14:val="tx1"/>
            </w14:solidFill>
          </w14:textFill>
        </w:rPr>
        <w:t>强调学生的实际获得感和成长度，通过问卷调查，考察学生在实践能力、创新能力、综合素质提升和知识体系构建等方面的获得感和成长情况，特别考察毕业生的职业能力提升情况。</w:t>
      </w:r>
    </w:p>
    <w:p>
      <w:pPr>
        <w:snapToGrid w:val="0"/>
        <w:spacing w:line="600" w:lineRule="exact"/>
        <w:ind w:firstLine="643" w:firstLineChars="200"/>
        <w:rPr>
          <w:rFonts w:ascii="Times New Roman" w:hAnsi="Times New Roman" w:eastAsia="楷体_GB2312" w:cs="Times New Roman"/>
          <w:b/>
          <w:bCs/>
          <w:color w:val="000000" w:themeColor="text1"/>
          <w:sz w:val="32"/>
          <w:szCs w:val="32"/>
          <w14:textFill>
            <w14:solidFill>
              <w14:schemeClr w14:val="tx1"/>
            </w14:solidFill>
          </w14:textFill>
        </w:rPr>
      </w:pPr>
      <w:r>
        <w:rPr>
          <w:rFonts w:hint="eastAsia" w:ascii="Times New Roman" w:hAnsi="Times New Roman" w:eastAsia="楷体_GB2312" w:cs="Times New Roman"/>
          <w:b/>
          <w:bCs/>
          <w:color w:val="000000" w:themeColor="text1"/>
          <w:sz w:val="32"/>
          <w:szCs w:val="32"/>
          <w14:textFill>
            <w14:solidFill>
              <w14:schemeClr w14:val="tx1"/>
            </w14:solidFill>
          </w14:textFill>
        </w:rPr>
        <w:t>（三）职业发展质量</w:t>
      </w:r>
    </w:p>
    <w:p>
      <w:pPr>
        <w:snapToGrid w:val="0"/>
        <w:spacing w:line="600" w:lineRule="exact"/>
        <w:ind w:firstLine="643"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14:textFill>
            <w14:solidFill>
              <w14:schemeClr w14:val="tx1"/>
            </w14:solidFill>
          </w14:textFill>
        </w:rPr>
        <w:t>7</w:t>
      </w:r>
      <w:r>
        <w:rPr>
          <w:rFonts w:ascii="Times New Roman" w:hAnsi="Times New Roman" w:eastAsia="仿宋_GB2312" w:cs="Times New Roman"/>
          <w:b/>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b/>
          <w:color w:val="000000" w:themeColor="text1"/>
          <w:sz w:val="32"/>
          <w:szCs w:val="32"/>
          <w14:textFill>
            <w14:solidFill>
              <w14:schemeClr w14:val="tx1"/>
            </w14:solidFill>
          </w14:textFill>
        </w:rPr>
        <w:t>毕业生质量。</w:t>
      </w:r>
      <w:r>
        <w:rPr>
          <w:rFonts w:hint="eastAsia" w:ascii="Times New Roman" w:hAnsi="Times New Roman" w:eastAsia="仿宋_GB2312" w:cs="Times New Roman"/>
          <w:color w:val="000000" w:themeColor="text1"/>
          <w:sz w:val="32"/>
          <w:szCs w:val="32"/>
          <w14:textFill>
            <w14:solidFill>
              <w14:schemeClr w14:val="tx1"/>
            </w14:solidFill>
          </w14:textFill>
        </w:rPr>
        <w:t>强调毕业生职业发展质量，关注总体就业质量，考察毕业生就业创业率、就业结构、整体职业吻合情况、职业能力发展和岗位提升等情况。注重</w:t>
      </w:r>
      <w:r>
        <w:rPr>
          <w:rFonts w:ascii="Times New Roman" w:hAnsi="Times New Roman" w:eastAsia="仿宋_GB2312" w:cs="Times New Roman"/>
          <w:color w:val="000000" w:themeColor="text1"/>
          <w:sz w:val="32"/>
          <w:szCs w:val="32"/>
          <w14:textFill>
            <w14:solidFill>
              <w14:schemeClr w14:val="tx1"/>
            </w14:solidFill>
          </w14:textFill>
        </w:rPr>
        <w:t>代表性毕业生情况</w:t>
      </w:r>
      <w:r>
        <w:rPr>
          <w:rFonts w:hint="eastAsia" w:ascii="Times New Roman" w:hAnsi="Times New Roman" w:eastAsia="仿宋_GB2312" w:cs="Times New Roman"/>
          <w:color w:val="000000" w:themeColor="text1"/>
          <w:sz w:val="32"/>
          <w:szCs w:val="32"/>
          <w14:textFill>
            <w14:solidFill>
              <w14:schemeClr w14:val="tx1"/>
            </w14:solidFill>
          </w14:textFill>
        </w:rPr>
        <w:t>评价，</w:t>
      </w:r>
      <w:r>
        <w:rPr>
          <w:rFonts w:ascii="Times New Roman" w:hAnsi="Times New Roman" w:eastAsia="仿宋_GB2312" w:cs="Times New Roman"/>
          <w:color w:val="000000" w:themeColor="text1"/>
          <w:sz w:val="32"/>
          <w:szCs w:val="32"/>
          <w14:textFill>
            <w14:solidFill>
              <w14:schemeClr w14:val="tx1"/>
            </w14:solidFill>
          </w14:textFill>
        </w:rPr>
        <w:t>考察</w:t>
      </w:r>
      <w:r>
        <w:rPr>
          <w:rFonts w:hint="eastAsia" w:ascii="Times New Roman" w:hAnsi="Times New Roman" w:eastAsia="仿宋_GB2312" w:cs="Times New Roman"/>
          <w:color w:val="000000" w:themeColor="text1"/>
          <w:sz w:val="32"/>
          <w:szCs w:val="32"/>
          <w14:textFill>
            <w14:solidFill>
              <w14:schemeClr w14:val="tx1"/>
            </w14:solidFill>
          </w14:textFill>
        </w:rPr>
        <w:t>其</w:t>
      </w:r>
      <w:r>
        <w:rPr>
          <w:rFonts w:ascii="Times New Roman" w:hAnsi="Times New Roman" w:eastAsia="仿宋_GB2312" w:cs="Times New Roman"/>
          <w:color w:val="000000" w:themeColor="text1"/>
          <w:sz w:val="32"/>
          <w:szCs w:val="32"/>
          <w14:textFill>
            <w14:solidFill>
              <w14:schemeClr w14:val="tx1"/>
            </w14:solidFill>
          </w14:textFill>
        </w:rPr>
        <w:t>职业发展情况、主要成就、贡献与影响</w:t>
      </w:r>
      <w:r>
        <w:rPr>
          <w:rFonts w:hint="eastAsia" w:ascii="Times New Roman" w:hAnsi="Times New Roman" w:eastAsia="仿宋_GB2312" w:cs="Times New Roman"/>
          <w:color w:val="000000" w:themeColor="text1"/>
          <w:sz w:val="32"/>
          <w:szCs w:val="32"/>
          <w14:textFill>
            <w14:solidFill>
              <w14:schemeClr w14:val="tx1"/>
            </w14:solidFill>
          </w14:textFill>
        </w:rPr>
        <w:t xml:space="preserve">。 </w:t>
      </w:r>
    </w:p>
    <w:p>
      <w:pPr>
        <w:snapToGrid w:val="0"/>
        <w:spacing w:line="600" w:lineRule="exact"/>
        <w:ind w:firstLine="643"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14:textFill>
            <w14:solidFill>
              <w14:schemeClr w14:val="tx1"/>
            </w14:solidFill>
          </w14:textFill>
        </w:rPr>
        <w:t>8</w:t>
      </w:r>
      <w:r>
        <w:rPr>
          <w:rFonts w:ascii="Times New Roman" w:hAnsi="Times New Roman" w:eastAsia="仿宋_GB2312" w:cs="Times New Roman"/>
          <w:b/>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b/>
          <w:color w:val="000000" w:themeColor="text1"/>
          <w:sz w:val="32"/>
          <w:szCs w:val="32"/>
          <w14:textFill>
            <w14:solidFill>
              <w14:schemeClr w14:val="tx1"/>
            </w14:solidFill>
          </w14:textFill>
        </w:rPr>
        <w:t>用人单位满意度。</w:t>
      </w:r>
      <w:r>
        <w:rPr>
          <w:rFonts w:hint="eastAsia" w:ascii="Times New Roman" w:hAnsi="Times New Roman" w:eastAsia="仿宋_GB2312" w:cs="Times New Roman"/>
          <w:color w:val="000000" w:themeColor="text1"/>
          <w:sz w:val="32"/>
          <w:szCs w:val="32"/>
          <w14:textFill>
            <w14:solidFill>
              <w14:schemeClr w14:val="tx1"/>
            </w14:solidFill>
          </w14:textFill>
        </w:rPr>
        <w:t>强调人才培养与社会需求的衔接度和适应度，通过用人单位问卷调查，重点考察用人单位对毕业生职业能力、职业道德与职业伦理等方面的满意度。</w:t>
      </w:r>
    </w:p>
    <w:p>
      <w:pPr>
        <w:adjustRightInd w:val="0"/>
        <w:snapToGrid w:val="0"/>
        <w:spacing w:line="600" w:lineRule="exact"/>
        <w:ind w:firstLine="643"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 xml:space="preserve">9. </w:t>
      </w:r>
      <w:r>
        <w:rPr>
          <w:rFonts w:hint="eastAsia" w:ascii="Times New Roman" w:hAnsi="Times New Roman" w:eastAsia="仿宋_GB2312" w:cs="Times New Roman"/>
          <w:b/>
          <w:color w:val="000000" w:themeColor="text1"/>
          <w:sz w:val="32"/>
          <w:szCs w:val="32"/>
          <w14:textFill>
            <w14:solidFill>
              <w14:schemeClr w14:val="tx1"/>
            </w14:solidFill>
          </w14:textFill>
        </w:rPr>
        <w:t>服务贡献与社会声誉。</w:t>
      </w:r>
      <w:r>
        <w:rPr>
          <w:rFonts w:hint="eastAsia" w:ascii="Times New Roman" w:hAnsi="Times New Roman" w:eastAsia="仿宋_GB2312" w:cs="Times New Roman"/>
          <w:color w:val="000000" w:themeColor="text1"/>
          <w:sz w:val="32"/>
          <w:szCs w:val="32"/>
          <w14:textFill>
            <w14:solidFill>
              <w14:schemeClr w14:val="tx1"/>
            </w14:solidFill>
          </w14:textFill>
        </w:rPr>
        <w:t>强调服务贡献评价，重点考察培养单位在服务国家战略需求、区域经济发展、行业创新发展等方面的主要贡献和典型案例，多角度呈现人才培养等方面的办学特色与亮点。强调社会声誉评价，考察培养单位人才培养的社会认知度和美誉度。</w:t>
      </w:r>
    </w:p>
    <w:p>
      <w:pPr>
        <w:snapToGrid w:val="0"/>
        <w:spacing w:line="600" w:lineRule="exact"/>
        <w:ind w:firstLine="640" w:firstLineChars="200"/>
        <w:rPr>
          <w:rFonts w:ascii="Times New Roman" w:hAnsi="Times New Roman" w:eastAsia="黑体" w:cs="Times New Roman"/>
          <w:bCs/>
          <w:color w:val="000000" w:themeColor="text1"/>
          <w:sz w:val="32"/>
          <w:szCs w:val="32"/>
          <w14:textFill>
            <w14:solidFill>
              <w14:schemeClr w14:val="tx1"/>
            </w14:solidFill>
          </w14:textFill>
        </w:rPr>
      </w:pPr>
      <w:r>
        <w:rPr>
          <w:rFonts w:hint="eastAsia" w:ascii="Times New Roman" w:hAnsi="Times New Roman" w:eastAsia="黑体" w:cs="Times New Roman"/>
          <w:bCs/>
          <w:color w:val="000000" w:themeColor="text1"/>
          <w:sz w:val="32"/>
          <w:szCs w:val="32"/>
          <w14:textFill>
            <w14:solidFill>
              <w14:schemeClr w14:val="tx1"/>
            </w14:solidFill>
          </w14:textFill>
        </w:rPr>
        <w:t>三、评估范围和要求</w:t>
      </w:r>
    </w:p>
    <w:p>
      <w:pPr>
        <w:snapToGrid w:val="0"/>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金融、应用统计、税务、国际商务、保险、资产评估、审计、社会工作、体育、汉语国际教育、应用心理、翻译、新闻与传播、出版、文物与博物馆、建筑学、城市规划、农业、兽医、风景园林、林业、公共卫生、护理、药学、中药学、中医、旅游管理、图书情报、工程管理、艺术（戏剧、戏曲、电影、广播电视、舞蹈、美术、艺术设计领域）等</w:t>
      </w:r>
      <w:r>
        <w:rPr>
          <w:rFonts w:ascii="Times New Roman" w:hAnsi="Times New Roman" w:eastAsia="仿宋_GB2312" w:cs="Times New Roman"/>
          <w:color w:val="000000" w:themeColor="text1"/>
          <w:sz w:val="32"/>
          <w:szCs w:val="32"/>
          <w14:textFill>
            <w14:solidFill>
              <w14:schemeClr w14:val="tx1"/>
            </w14:solidFill>
          </w14:textFill>
        </w:rPr>
        <w:t>30</w:t>
      </w:r>
      <w:r>
        <w:rPr>
          <w:rFonts w:hint="eastAsia" w:ascii="Times New Roman" w:hAnsi="Times New Roman" w:eastAsia="仿宋_GB2312" w:cs="Times New Roman"/>
          <w:color w:val="000000" w:themeColor="text1"/>
          <w:sz w:val="32"/>
          <w:szCs w:val="32"/>
          <w14:textFill>
            <w14:solidFill>
              <w14:schemeClr w14:val="tx1"/>
            </w14:solidFill>
          </w14:textFill>
        </w:rPr>
        <w:t>个专业学位类别。</w:t>
      </w:r>
    </w:p>
    <w:p>
      <w:pPr>
        <w:snapToGrid w:val="0"/>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各学位授予单位在</w:t>
      </w:r>
      <w:r>
        <w:rPr>
          <w:rFonts w:ascii="Times New Roman" w:hAnsi="Times New Roman" w:eastAsia="仿宋_GB2312" w:cs="Times New Roman"/>
          <w:color w:val="000000" w:themeColor="text1"/>
          <w:sz w:val="32"/>
          <w:szCs w:val="32"/>
          <w14:textFill>
            <w14:solidFill>
              <w14:schemeClr w14:val="tx1"/>
            </w14:solidFill>
          </w14:textFill>
        </w:rPr>
        <w:t>2015</w:t>
      </w:r>
      <w:r>
        <w:rPr>
          <w:rFonts w:hint="eastAsia" w:ascii="Times New Roman" w:hAnsi="Times New Roman" w:eastAsia="仿宋_GB2312" w:cs="Times New Roman"/>
          <w:color w:val="000000" w:themeColor="text1"/>
          <w:sz w:val="32"/>
          <w:szCs w:val="32"/>
          <w14:textFill>
            <w14:solidFill>
              <w14:schemeClr w14:val="tx1"/>
            </w14:solidFill>
          </w14:textFill>
        </w:rPr>
        <w:t>年</w:t>
      </w:r>
      <w:r>
        <w:rPr>
          <w:rFonts w:ascii="Times New Roman" w:hAnsi="Times New Roman" w:eastAsia="仿宋_GB2312" w:cs="Times New Roman"/>
          <w:color w:val="000000" w:themeColor="text1"/>
          <w:sz w:val="32"/>
          <w:szCs w:val="32"/>
          <w14:textFill>
            <w14:solidFill>
              <w14:schemeClr w14:val="tx1"/>
            </w14:solidFill>
          </w14:textFill>
        </w:rPr>
        <w:t>12</w:t>
      </w:r>
      <w:r>
        <w:rPr>
          <w:rFonts w:hint="eastAsia" w:ascii="Times New Roman" w:hAnsi="Times New Roman" w:eastAsia="仿宋_GB2312" w:cs="Times New Roman"/>
          <w:color w:val="000000" w:themeColor="text1"/>
          <w:sz w:val="32"/>
          <w:szCs w:val="32"/>
          <w14:textFill>
            <w14:solidFill>
              <w14:schemeClr w14:val="tx1"/>
            </w14:solidFill>
          </w14:textFill>
        </w:rPr>
        <w:t>月</w:t>
      </w:r>
      <w:r>
        <w:rPr>
          <w:rFonts w:ascii="Times New Roman" w:hAnsi="Times New Roman" w:eastAsia="仿宋_GB2312" w:cs="Times New Roman"/>
          <w:color w:val="000000" w:themeColor="text1"/>
          <w:sz w:val="32"/>
          <w:szCs w:val="32"/>
          <w14:textFill>
            <w14:solidFill>
              <w14:schemeClr w14:val="tx1"/>
            </w14:solidFill>
          </w14:textFill>
        </w:rPr>
        <w:t>31</w:t>
      </w:r>
      <w:r>
        <w:rPr>
          <w:rFonts w:hint="eastAsia" w:ascii="Times New Roman" w:hAnsi="Times New Roman" w:eastAsia="仿宋_GB2312" w:cs="Times New Roman"/>
          <w:color w:val="000000" w:themeColor="text1"/>
          <w:sz w:val="32"/>
          <w:szCs w:val="32"/>
          <w14:textFill>
            <w14:solidFill>
              <w14:schemeClr w14:val="tx1"/>
            </w14:solidFill>
          </w14:textFill>
        </w:rPr>
        <w:t>日前获得上述专业学位授权，且通过专项评估或合格评估的专业学位授权点须参评。</w:t>
      </w:r>
    </w:p>
    <w:p>
      <w:pPr>
        <w:snapToGrid w:val="0"/>
        <w:spacing w:line="600" w:lineRule="exact"/>
        <w:ind w:firstLine="640" w:firstLineChars="200"/>
        <w:rPr>
          <w:rFonts w:ascii="Times New Roman" w:hAnsi="Times New Roman" w:eastAsia="黑体" w:cs="Times New Roman"/>
          <w:bCs/>
          <w:color w:val="000000" w:themeColor="text1"/>
          <w:sz w:val="32"/>
          <w:szCs w:val="32"/>
          <w14:textFill>
            <w14:solidFill>
              <w14:schemeClr w14:val="tx1"/>
            </w14:solidFill>
          </w14:textFill>
        </w:rPr>
      </w:pPr>
      <w:r>
        <w:rPr>
          <w:rFonts w:hint="eastAsia" w:ascii="Times New Roman" w:hAnsi="Times New Roman" w:eastAsia="黑体" w:cs="Times New Roman"/>
          <w:bCs/>
          <w:color w:val="000000" w:themeColor="text1"/>
          <w:sz w:val="32"/>
          <w:szCs w:val="32"/>
          <w14:textFill>
            <w14:solidFill>
              <w14:schemeClr w14:val="tx1"/>
            </w14:solidFill>
          </w14:textFill>
        </w:rPr>
        <w:t>四、</w:t>
      </w:r>
      <w:r>
        <w:rPr>
          <w:rFonts w:ascii="Times New Roman" w:hAnsi="Times New Roman" w:eastAsia="黑体" w:cs="Times New Roman"/>
          <w:bCs/>
          <w:color w:val="000000" w:themeColor="text1"/>
          <w:sz w:val="32"/>
          <w:szCs w:val="32"/>
          <w14:textFill>
            <w14:solidFill>
              <w14:schemeClr w14:val="tx1"/>
            </w14:solidFill>
          </w14:textFill>
        </w:rPr>
        <w:t>评估</w:t>
      </w:r>
      <w:r>
        <w:rPr>
          <w:rFonts w:hint="eastAsia" w:ascii="Times New Roman" w:hAnsi="Times New Roman" w:eastAsia="黑体" w:cs="Times New Roman"/>
          <w:bCs/>
          <w:color w:val="000000" w:themeColor="text1"/>
          <w:sz w:val="32"/>
          <w:szCs w:val="32"/>
          <w14:textFill>
            <w14:solidFill>
              <w14:schemeClr w14:val="tx1"/>
            </w14:solidFill>
          </w14:textFill>
        </w:rPr>
        <w:t>程序</w:t>
      </w:r>
    </w:p>
    <w:p>
      <w:pPr>
        <w:autoSpaceDE w:val="0"/>
        <w:autoSpaceDN w:val="0"/>
        <w:adjustRightInd w:val="0"/>
        <w:snapToGrid w:val="0"/>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评估程序包括</w:t>
      </w:r>
      <w:bookmarkStart w:id="0" w:name="_Hlk50974490"/>
      <w:r>
        <w:rPr>
          <w:rFonts w:hint="eastAsia" w:ascii="Times New Roman" w:hAnsi="Times New Roman" w:eastAsia="仿宋_GB2312" w:cs="Times New Roman"/>
          <w:color w:val="000000" w:themeColor="text1"/>
          <w:sz w:val="32"/>
          <w:szCs w:val="32"/>
          <w14:textFill>
            <w14:solidFill>
              <w14:schemeClr w14:val="tx1"/>
            </w14:solidFill>
          </w14:textFill>
        </w:rPr>
        <w:t>参评确认、信息采集、信息核查、专家评价、问卷调查、权重确定、结果形成与发布、持续改进</w:t>
      </w:r>
      <w:bookmarkEnd w:id="0"/>
      <w:r>
        <w:rPr>
          <w:rFonts w:hint="eastAsia" w:ascii="Times New Roman" w:hAnsi="Times New Roman" w:eastAsia="仿宋_GB2312" w:cs="Times New Roman"/>
          <w:color w:val="000000" w:themeColor="text1"/>
          <w:sz w:val="32"/>
          <w:szCs w:val="32"/>
          <w14:textFill>
            <w14:solidFill>
              <w14:schemeClr w14:val="tx1"/>
            </w14:solidFill>
          </w14:textFill>
        </w:rPr>
        <w:t>等八个环节。</w:t>
      </w:r>
    </w:p>
    <w:p>
      <w:pPr>
        <w:autoSpaceDE w:val="0"/>
        <w:autoSpaceDN w:val="0"/>
        <w:adjustRightInd w:val="0"/>
        <w:snapToGrid w:val="0"/>
        <w:spacing w:line="600" w:lineRule="exact"/>
        <w:ind w:firstLine="643" w:firstLineChars="200"/>
        <w:rPr>
          <w:rFonts w:ascii="楷体_GB2312" w:hAnsi="Times New Roman" w:eastAsia="楷体_GB2312" w:cs="Times New Roman"/>
          <w:b/>
          <w:sz w:val="32"/>
          <w:szCs w:val="32"/>
        </w:rPr>
      </w:pPr>
      <w:r>
        <w:rPr>
          <w:rFonts w:hint="eastAsia" w:ascii="楷体_GB2312" w:hAnsi="Times New Roman" w:eastAsia="楷体_GB2312" w:cs="Times New Roman"/>
          <w:b/>
          <w:sz w:val="32"/>
          <w:szCs w:val="32"/>
        </w:rPr>
        <w:t>（一）参评确认</w:t>
      </w:r>
    </w:p>
    <w:p>
      <w:pPr>
        <w:autoSpaceDE w:val="0"/>
        <w:autoSpaceDN w:val="0"/>
        <w:adjustRightInd w:val="0"/>
        <w:snapToGrid w:val="0"/>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各学位授予单位登录“全国专业学位水平评估系统”，对评估范围内的专业学位授权点参评情况进行确认。教育部学位与研究生教育发展中心（以下简称“教育部学位中心”）对各学位授予单位确认后的参评资格进行审核。</w:t>
      </w:r>
    </w:p>
    <w:p>
      <w:pPr>
        <w:snapToGrid w:val="0"/>
        <w:spacing w:line="600" w:lineRule="exact"/>
        <w:ind w:firstLine="643" w:firstLineChars="200"/>
        <w:rPr>
          <w:rFonts w:ascii="Times New Roman" w:hAnsi="Times New Roman" w:eastAsia="楷体_GB2312" w:cs="Times New Roman"/>
          <w:b/>
          <w:bCs/>
          <w:color w:val="000000" w:themeColor="text1"/>
          <w:sz w:val="32"/>
          <w:szCs w:val="32"/>
          <w14:textFill>
            <w14:solidFill>
              <w14:schemeClr w14:val="tx1"/>
            </w14:solidFill>
          </w14:textFill>
        </w:rPr>
      </w:pPr>
      <w:r>
        <w:rPr>
          <w:rFonts w:hint="eastAsia" w:ascii="Times New Roman" w:hAnsi="Times New Roman" w:eastAsia="楷体_GB2312" w:cs="Times New Roman"/>
          <w:b/>
          <w:bCs/>
          <w:color w:val="000000" w:themeColor="text1"/>
          <w:sz w:val="32"/>
          <w:szCs w:val="32"/>
          <w14:textFill>
            <w14:solidFill>
              <w14:schemeClr w14:val="tx1"/>
            </w14:solidFill>
          </w14:textFill>
        </w:rPr>
        <w:t>（二）信息采集</w:t>
      </w:r>
    </w:p>
    <w:p>
      <w:pPr>
        <w:autoSpaceDE w:val="0"/>
        <w:autoSpaceDN w:val="0"/>
        <w:adjustRightInd w:val="0"/>
        <w:snapToGrid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采用公共数据获取与各参评单位审核补充相结合的信息采集模式，如补充思政教育、服务贡献案例等必要材料，减少填报材料数量。各参评单位应积极配合采集工作，保证填报信息真实、可靠。</w:t>
      </w:r>
    </w:p>
    <w:p>
      <w:pPr>
        <w:autoSpaceDE w:val="0"/>
        <w:autoSpaceDN w:val="0"/>
        <w:adjustRightInd w:val="0"/>
        <w:snapToGrid w:val="0"/>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楷体_GB2312" w:cs="Times New Roman"/>
          <w:b/>
          <w:bCs/>
          <w:sz w:val="32"/>
          <w:szCs w:val="32"/>
        </w:rPr>
        <w:t>（三）信息核查</w:t>
      </w:r>
    </w:p>
    <w:p>
      <w:pPr>
        <w:autoSpaceDE w:val="0"/>
        <w:autoSpaceDN w:val="0"/>
        <w:adjustRightInd w:val="0"/>
        <w:snapToGrid w:val="0"/>
        <w:spacing w:line="600" w:lineRule="exact"/>
        <w:ind w:firstLine="640" w:firstLineChars="200"/>
        <w:rPr>
          <w:rFonts w:ascii="Times New Roman" w:hAnsi="Times New Roman" w:eastAsia="方正仿宋简体" w:cs="Times New Roman"/>
          <w:sz w:val="32"/>
          <w:szCs w:val="32"/>
        </w:rPr>
      </w:pPr>
      <w:r>
        <w:rPr>
          <w:rFonts w:hint="eastAsia" w:ascii="Times New Roman" w:hAnsi="Times New Roman" w:eastAsia="仿宋_GB2312" w:cs="Times New Roman"/>
          <w:sz w:val="32"/>
          <w:szCs w:val="32"/>
        </w:rPr>
        <w:t>通过形式审查、逻辑检查、公共数据比对、证明材料核查、重复数据筛查、重点数据抽查、信息公示等方式，对参评单位填报信息进行核查。在确保国家信息安全的前提下，在参评单位范围内公示相关数据。</w:t>
      </w:r>
      <w:r>
        <w:rPr>
          <w:rFonts w:ascii="Times New Roman" w:hAnsi="Times New Roman" w:eastAsia="仿宋_GB2312" w:cs="Times New Roman"/>
          <w:sz w:val="32"/>
          <w:szCs w:val="32"/>
        </w:rPr>
        <w:t>核查结果与公示异议</w:t>
      </w:r>
      <w:r>
        <w:rPr>
          <w:rFonts w:hint="eastAsia" w:ascii="Times New Roman" w:hAnsi="Times New Roman" w:eastAsia="仿宋_GB2312" w:cs="Times New Roman"/>
          <w:sz w:val="32"/>
          <w:szCs w:val="32"/>
        </w:rPr>
        <w:t>将</w:t>
      </w:r>
      <w:r>
        <w:rPr>
          <w:rFonts w:ascii="Times New Roman" w:hAnsi="Times New Roman" w:eastAsia="仿宋_GB2312" w:cs="Times New Roman"/>
          <w:sz w:val="32"/>
          <w:szCs w:val="32"/>
        </w:rPr>
        <w:t>反馈参评单位进行</w:t>
      </w:r>
      <w:r>
        <w:rPr>
          <w:rFonts w:hint="eastAsia" w:ascii="Times New Roman" w:hAnsi="Times New Roman" w:eastAsia="仿宋_GB2312" w:cs="Times New Roman"/>
          <w:sz w:val="32"/>
          <w:szCs w:val="32"/>
        </w:rPr>
        <w:t>核实、处置和再次确认</w:t>
      </w:r>
      <w:r>
        <w:rPr>
          <w:rFonts w:ascii="Times New Roman" w:hAnsi="Times New Roman" w:eastAsia="仿宋_GB2312" w:cs="Times New Roman"/>
          <w:sz w:val="32"/>
          <w:szCs w:val="32"/>
        </w:rPr>
        <w:t>。</w:t>
      </w:r>
    </w:p>
    <w:p>
      <w:pPr>
        <w:snapToGrid w:val="0"/>
        <w:spacing w:line="600" w:lineRule="exact"/>
        <w:ind w:firstLine="643" w:firstLineChars="200"/>
        <w:rPr>
          <w:rFonts w:ascii="Times New Roman" w:hAnsi="Times New Roman" w:eastAsia="楷体_GB2312" w:cs="Times New Roman"/>
          <w:b/>
          <w:bCs/>
          <w:color w:val="000000" w:themeColor="text1"/>
          <w:sz w:val="32"/>
          <w:szCs w:val="32"/>
          <w14:textFill>
            <w14:solidFill>
              <w14:schemeClr w14:val="tx1"/>
            </w14:solidFill>
          </w14:textFill>
        </w:rPr>
      </w:pPr>
      <w:r>
        <w:rPr>
          <w:rFonts w:hint="eastAsia" w:ascii="Times New Roman" w:hAnsi="Times New Roman" w:eastAsia="楷体_GB2312" w:cs="Times New Roman"/>
          <w:b/>
          <w:bCs/>
          <w:color w:val="000000" w:themeColor="text1"/>
          <w:sz w:val="32"/>
          <w:szCs w:val="32"/>
          <w14:textFill>
            <w14:solidFill>
              <w14:schemeClr w14:val="tx1"/>
            </w14:solidFill>
          </w14:textFill>
        </w:rPr>
        <w:t>（四）专家评价</w:t>
      </w:r>
    </w:p>
    <w:p>
      <w:pPr>
        <w:autoSpaceDE w:val="0"/>
        <w:autoSpaceDN w:val="0"/>
        <w:adjustRightInd w:val="0"/>
        <w:snapToGrid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按照“随机、保密、回避”原则，遴选思政教育专家、各专业学位专家、行业专家等对定性评价部分进行分项评价；建立专业学位专家库、扩展具有丰富实践经验的专家资源，制定专家评价标准和指南；采用基于定量数据、证据的专家“融合评价”，提高专家评议质量。</w:t>
      </w:r>
    </w:p>
    <w:p>
      <w:pPr>
        <w:snapToGrid w:val="0"/>
        <w:spacing w:line="600" w:lineRule="exact"/>
        <w:ind w:firstLine="643" w:firstLineChars="200"/>
        <w:rPr>
          <w:rFonts w:ascii="Times New Roman" w:hAnsi="Times New Roman" w:eastAsia="楷体_GB2312" w:cs="Times New Roman"/>
          <w:b/>
          <w:bCs/>
          <w:color w:val="000000" w:themeColor="text1"/>
          <w:sz w:val="32"/>
          <w:szCs w:val="32"/>
          <w14:textFill>
            <w14:solidFill>
              <w14:schemeClr w14:val="tx1"/>
            </w14:solidFill>
          </w14:textFill>
        </w:rPr>
      </w:pPr>
      <w:r>
        <w:rPr>
          <w:rFonts w:hint="eastAsia" w:ascii="Times New Roman" w:hAnsi="Times New Roman" w:eastAsia="楷体_GB2312" w:cs="Times New Roman"/>
          <w:b/>
          <w:bCs/>
          <w:color w:val="000000" w:themeColor="text1"/>
          <w:sz w:val="32"/>
          <w:szCs w:val="32"/>
          <w14:textFill>
            <w14:solidFill>
              <w14:schemeClr w14:val="tx1"/>
            </w14:solidFill>
          </w14:textFill>
        </w:rPr>
        <w:t>（五）问卷调查</w:t>
      </w:r>
    </w:p>
    <w:p>
      <w:pPr>
        <w:autoSpaceDE w:val="0"/>
        <w:autoSpaceDN w:val="0"/>
        <w:adjustRightInd w:val="0"/>
        <w:snapToGrid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通过网络平台，面向在校生、毕业生和用人单位进行问卷调查，获取相关评估数据。邀请同行专家和部分行业专家结合培养方案与特色成效，对专业学位进行综合声誉评价。</w:t>
      </w:r>
    </w:p>
    <w:p>
      <w:pPr>
        <w:snapToGrid w:val="0"/>
        <w:spacing w:line="600" w:lineRule="exact"/>
        <w:ind w:firstLine="643" w:firstLineChars="200"/>
        <w:rPr>
          <w:rFonts w:ascii="Times New Roman" w:hAnsi="Times New Roman" w:eastAsia="楷体_GB2312" w:cs="Times New Roman"/>
          <w:b/>
          <w:bCs/>
          <w:color w:val="000000" w:themeColor="text1"/>
          <w:sz w:val="32"/>
          <w:szCs w:val="32"/>
          <w14:textFill>
            <w14:solidFill>
              <w14:schemeClr w14:val="tx1"/>
            </w14:solidFill>
          </w14:textFill>
        </w:rPr>
      </w:pPr>
      <w:r>
        <w:rPr>
          <w:rFonts w:hint="eastAsia" w:ascii="Times New Roman" w:hAnsi="Times New Roman" w:eastAsia="楷体_GB2312" w:cs="Times New Roman"/>
          <w:b/>
          <w:bCs/>
          <w:color w:val="000000" w:themeColor="text1"/>
          <w:sz w:val="32"/>
          <w:szCs w:val="32"/>
          <w14:textFill>
            <w14:solidFill>
              <w14:schemeClr w14:val="tx1"/>
            </w14:solidFill>
          </w14:textFill>
        </w:rPr>
        <w:t>（六）权重确定</w:t>
      </w:r>
    </w:p>
    <w:p>
      <w:pPr>
        <w:autoSpaceDE w:val="0"/>
        <w:autoSpaceDN w:val="0"/>
        <w:adjustRightInd w:val="0"/>
        <w:snapToGrid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广泛听取各教指委等专家对</w:t>
      </w:r>
      <w:r>
        <w:rPr>
          <w:rFonts w:ascii="Times New Roman" w:hAnsi="Times New Roman" w:eastAsia="仿宋_GB2312" w:cs="Times New Roman"/>
          <w:sz w:val="32"/>
          <w:szCs w:val="32"/>
        </w:rPr>
        <w:t>指标</w:t>
      </w:r>
      <w:r>
        <w:rPr>
          <w:rFonts w:hint="eastAsia" w:ascii="Times New Roman" w:hAnsi="Times New Roman" w:eastAsia="仿宋_GB2312" w:cs="Times New Roman"/>
          <w:sz w:val="32"/>
          <w:szCs w:val="32"/>
        </w:rPr>
        <w:t>体系</w:t>
      </w:r>
      <w:r>
        <w:rPr>
          <w:rFonts w:ascii="Times New Roman" w:hAnsi="Times New Roman" w:eastAsia="仿宋_GB2312" w:cs="Times New Roman"/>
          <w:sz w:val="32"/>
          <w:szCs w:val="32"/>
        </w:rPr>
        <w:t>权重</w:t>
      </w:r>
      <w:r>
        <w:rPr>
          <w:rFonts w:hint="eastAsia" w:ascii="Times New Roman" w:hAnsi="Times New Roman" w:eastAsia="仿宋_GB2312" w:cs="Times New Roman"/>
          <w:sz w:val="32"/>
          <w:szCs w:val="32"/>
        </w:rPr>
        <w:t>的意见</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通过</w:t>
      </w:r>
      <w:r>
        <w:rPr>
          <w:rFonts w:ascii="Times New Roman" w:hAnsi="Times New Roman" w:eastAsia="仿宋_GB2312" w:cs="Times New Roman"/>
          <w:sz w:val="32"/>
          <w:szCs w:val="32"/>
        </w:rPr>
        <w:t>汇总</w:t>
      </w:r>
      <w:r>
        <w:rPr>
          <w:rFonts w:hint="eastAsia" w:ascii="Times New Roman" w:hAnsi="Times New Roman" w:eastAsia="仿宋_GB2312" w:cs="Times New Roman"/>
          <w:sz w:val="32"/>
          <w:szCs w:val="32"/>
        </w:rPr>
        <w:t>统计，确定</w:t>
      </w:r>
      <w:r>
        <w:rPr>
          <w:rFonts w:ascii="Times New Roman" w:hAnsi="Times New Roman" w:eastAsia="仿宋_GB2312" w:cs="Times New Roman"/>
          <w:sz w:val="32"/>
          <w:szCs w:val="32"/>
        </w:rPr>
        <w:t>各</w:t>
      </w:r>
      <w:r>
        <w:rPr>
          <w:rFonts w:hint="eastAsia" w:ascii="Times New Roman" w:hAnsi="Times New Roman" w:eastAsia="仿宋_GB2312" w:cs="Times New Roman"/>
          <w:sz w:val="32"/>
          <w:szCs w:val="32"/>
        </w:rPr>
        <w:t>专业学位类别指标体系的</w:t>
      </w:r>
      <w:r>
        <w:rPr>
          <w:rFonts w:ascii="Times New Roman" w:hAnsi="Times New Roman" w:eastAsia="仿宋_GB2312" w:cs="Times New Roman"/>
          <w:sz w:val="32"/>
          <w:szCs w:val="32"/>
        </w:rPr>
        <w:t>最终权重。</w:t>
      </w:r>
    </w:p>
    <w:p>
      <w:pPr>
        <w:snapToGrid w:val="0"/>
        <w:spacing w:line="600" w:lineRule="exact"/>
        <w:ind w:firstLine="643" w:firstLineChars="200"/>
        <w:rPr>
          <w:rFonts w:ascii="Times New Roman" w:hAnsi="Times New Roman" w:eastAsia="楷体_GB2312" w:cs="Times New Roman"/>
          <w:b/>
          <w:bCs/>
          <w:color w:val="000000" w:themeColor="text1"/>
          <w:sz w:val="32"/>
          <w:szCs w:val="32"/>
          <w14:textFill>
            <w14:solidFill>
              <w14:schemeClr w14:val="tx1"/>
            </w14:solidFill>
          </w14:textFill>
        </w:rPr>
      </w:pPr>
      <w:r>
        <w:rPr>
          <w:rFonts w:hint="eastAsia" w:ascii="Times New Roman" w:hAnsi="Times New Roman" w:eastAsia="楷体_GB2312" w:cs="Times New Roman"/>
          <w:b/>
          <w:bCs/>
          <w:color w:val="000000" w:themeColor="text1"/>
          <w:sz w:val="32"/>
          <w:szCs w:val="32"/>
          <w14:textFill>
            <w14:solidFill>
              <w14:schemeClr w14:val="tx1"/>
            </w14:solidFill>
          </w14:textFill>
        </w:rPr>
        <w:t>（七）结果形成与发布</w:t>
      </w:r>
    </w:p>
    <w:p>
      <w:pPr>
        <w:autoSpaceDE w:val="0"/>
        <w:autoSpaceDN w:val="0"/>
        <w:adjustRightInd w:val="0"/>
        <w:snapToGrid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bCs/>
          <w:sz w:val="32"/>
          <w:szCs w:val="32"/>
        </w:rPr>
        <w:t>根据定量</w:t>
      </w:r>
      <w:r>
        <w:rPr>
          <w:rFonts w:hint="eastAsia" w:ascii="Times New Roman" w:hAnsi="Times New Roman" w:eastAsia="仿宋_GB2312"/>
          <w:sz w:val="32"/>
          <w:szCs w:val="32"/>
        </w:rPr>
        <w:t>和定性指标评价结果及指标权重，形成评估结果。</w:t>
      </w:r>
      <w:r>
        <w:rPr>
          <w:rFonts w:hint="eastAsia" w:ascii="Times New Roman" w:hAnsi="Times New Roman" w:eastAsia="仿宋_GB2312" w:cs="Times New Roman"/>
          <w:sz w:val="32"/>
          <w:szCs w:val="32"/>
        </w:rPr>
        <w:t>按照专业学位类别及领域呈现总体评估结果，并根据需要提供多种形式</w:t>
      </w:r>
      <w:r>
        <w:rPr>
          <w:rFonts w:ascii="Times New Roman" w:hAnsi="Times New Roman" w:eastAsia="仿宋_GB2312" w:cs="Times New Roman"/>
          <w:sz w:val="32"/>
          <w:szCs w:val="32"/>
        </w:rPr>
        <w:t>的</w:t>
      </w:r>
      <w:r>
        <w:rPr>
          <w:rFonts w:hint="eastAsia" w:ascii="Times New Roman" w:hAnsi="Times New Roman" w:eastAsia="仿宋_GB2312" w:cs="Times New Roman"/>
          <w:sz w:val="32"/>
          <w:szCs w:val="32"/>
        </w:rPr>
        <w:t>分类评估结果。</w:t>
      </w:r>
    </w:p>
    <w:p>
      <w:pPr>
        <w:snapToGrid w:val="0"/>
        <w:spacing w:line="600" w:lineRule="exact"/>
        <w:ind w:firstLine="643" w:firstLineChars="200"/>
        <w:rPr>
          <w:rFonts w:ascii="Times New Roman" w:hAnsi="Times New Roman" w:eastAsia="楷体_GB2312" w:cs="Times New Roman"/>
          <w:b/>
          <w:bCs/>
          <w:color w:val="000000" w:themeColor="text1"/>
          <w:sz w:val="32"/>
          <w:szCs w:val="32"/>
          <w14:textFill>
            <w14:solidFill>
              <w14:schemeClr w14:val="tx1"/>
            </w14:solidFill>
          </w14:textFill>
        </w:rPr>
      </w:pPr>
      <w:r>
        <w:rPr>
          <w:rFonts w:hint="eastAsia" w:ascii="Times New Roman" w:hAnsi="Times New Roman" w:eastAsia="楷体_GB2312" w:cs="Times New Roman"/>
          <w:b/>
          <w:bCs/>
          <w:color w:val="000000" w:themeColor="text1"/>
          <w:sz w:val="32"/>
          <w:szCs w:val="32"/>
          <w14:textFill>
            <w14:solidFill>
              <w14:schemeClr w14:val="tx1"/>
            </w14:solidFill>
          </w14:textFill>
        </w:rPr>
        <w:t>（八）持续改进</w:t>
      </w:r>
    </w:p>
    <w:p>
      <w:pPr>
        <w:snapToGrid w:val="0"/>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为更好发挥评估体检和诊断作用，按需为各</w:t>
      </w:r>
      <w:r>
        <w:rPr>
          <w:rFonts w:ascii="Times New Roman" w:hAnsi="Times New Roman" w:eastAsia="仿宋_GB2312" w:cs="Times New Roman"/>
          <w:color w:val="000000" w:themeColor="text1"/>
          <w:sz w:val="32"/>
          <w:szCs w:val="32"/>
          <w14:textFill>
            <w14:solidFill>
              <w14:schemeClr w14:val="tx1"/>
            </w14:solidFill>
          </w14:textFill>
        </w:rPr>
        <w:t>相关单位</w:t>
      </w:r>
      <w:r>
        <w:rPr>
          <w:rFonts w:hint="eastAsia" w:ascii="Times New Roman" w:hAnsi="Times New Roman" w:eastAsia="仿宋_GB2312" w:cs="Times New Roman"/>
          <w:color w:val="000000" w:themeColor="text1"/>
          <w:sz w:val="32"/>
          <w:szCs w:val="32"/>
          <w14:textFill>
            <w14:solidFill>
              <w14:schemeClr w14:val="tx1"/>
            </w14:solidFill>
          </w14:textFill>
        </w:rPr>
        <w:t>提供分析服务报告，各学位授予单位依据评估结果或分析服务报告，排查专业学位研究生教育薄弱环节和存在问题，提出针对性持续改进举措，促进研究生培养质量不断提升。</w:t>
      </w:r>
    </w:p>
    <w:p>
      <w:pPr>
        <w:snapToGrid w:val="0"/>
        <w:spacing w:line="600" w:lineRule="exact"/>
        <w:ind w:firstLine="640" w:firstLineChars="200"/>
        <w:rPr>
          <w:rFonts w:ascii="Times New Roman" w:hAnsi="Times New Roman" w:eastAsia="黑体" w:cs="Times New Roman"/>
          <w:bCs/>
          <w:color w:val="000000" w:themeColor="text1"/>
          <w:sz w:val="32"/>
          <w:szCs w:val="32"/>
          <w14:textFill>
            <w14:solidFill>
              <w14:schemeClr w14:val="tx1"/>
            </w14:solidFill>
          </w14:textFill>
        </w:rPr>
      </w:pPr>
      <w:r>
        <w:rPr>
          <w:rFonts w:hint="eastAsia" w:ascii="Times New Roman" w:hAnsi="Times New Roman" w:eastAsia="黑体" w:cs="Times New Roman"/>
          <w:bCs/>
          <w:color w:val="000000" w:themeColor="text1"/>
          <w:sz w:val="32"/>
          <w:szCs w:val="32"/>
          <w14:textFill>
            <w14:solidFill>
              <w14:schemeClr w14:val="tx1"/>
            </w14:solidFill>
          </w14:textFill>
        </w:rPr>
        <w:t>五、组织实施</w:t>
      </w:r>
    </w:p>
    <w:p>
      <w:pPr>
        <w:snapToGrid w:val="0"/>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国务院教育督导委员会办公室负责制定全国专业学位水平评估政策文件、实施方案，并对评估工作进行监督指导。积极构建“管办评”分离、多方参与的评估模式，委托教育部学位中心负责具体实施全国专业学位水平评估。有关省（区、市）教育行政部门按照评估工作安排，</w:t>
      </w:r>
      <w:r>
        <w:rPr>
          <w:rFonts w:hint="eastAsia" w:ascii="Times New Roman" w:hAnsi="Times New Roman" w:eastAsia="仿宋_GB2312" w:cs="Times New Roman"/>
          <w:sz w:val="32"/>
          <w:szCs w:val="32"/>
        </w:rPr>
        <w:t>指导本行政区域内的评估工作（不含军队院校）。</w:t>
      </w:r>
      <w:r>
        <w:rPr>
          <w:rFonts w:hint="eastAsia" w:ascii="Times New Roman" w:hAnsi="Times New Roman" w:eastAsia="仿宋_GB2312" w:cs="Times New Roman"/>
          <w:color w:val="000000" w:themeColor="text1"/>
          <w:sz w:val="32"/>
          <w:szCs w:val="32"/>
          <w14:textFill>
            <w14:solidFill>
              <w14:schemeClr w14:val="tx1"/>
            </w14:solidFill>
          </w14:textFill>
        </w:rPr>
        <w:t>各学位授予单位负责做好本单位符合参评条件的专业学位授权点确认、评估材料报送等工作，并对评估发现的问题进行整改。</w:t>
      </w:r>
      <w:r>
        <w:rPr>
          <w:rFonts w:hint="eastAsia" w:ascii="Times New Roman" w:hAnsi="Times New Roman" w:eastAsia="仿宋_GB2312" w:cs="Times New Roman"/>
          <w:sz w:val="32"/>
          <w:szCs w:val="32"/>
        </w:rPr>
        <w:t>军队院校评估工作由中央军委训练管理部职业教育局另行组织实施。</w:t>
      </w:r>
    </w:p>
    <w:p>
      <w:pPr>
        <w:snapToGrid w:val="0"/>
        <w:spacing w:line="600" w:lineRule="exact"/>
        <w:ind w:firstLine="640" w:firstLineChars="200"/>
        <w:rPr>
          <w:rFonts w:ascii="Times New Roman" w:hAnsi="Times New Roman" w:eastAsia="黑体" w:cs="Times New Roman"/>
          <w:bCs/>
          <w:color w:val="000000" w:themeColor="text1"/>
          <w:sz w:val="32"/>
          <w:szCs w:val="32"/>
          <w14:textFill>
            <w14:solidFill>
              <w14:schemeClr w14:val="tx1"/>
            </w14:solidFill>
          </w14:textFill>
        </w:rPr>
      </w:pPr>
      <w:r>
        <w:rPr>
          <w:rFonts w:hint="eastAsia" w:ascii="Times New Roman" w:hAnsi="Times New Roman" w:eastAsia="黑体" w:cs="Times New Roman"/>
          <w:bCs/>
          <w:color w:val="000000" w:themeColor="text1"/>
          <w:sz w:val="32"/>
          <w:szCs w:val="32"/>
          <w14:textFill>
            <w14:solidFill>
              <w14:schemeClr w14:val="tx1"/>
            </w14:solidFill>
          </w14:textFill>
        </w:rPr>
        <w:t>六、评估纪律</w:t>
      </w:r>
    </w:p>
    <w:p>
      <w:pPr>
        <w:autoSpaceDE w:val="0"/>
        <w:autoSpaceDN w:val="0"/>
        <w:adjustRightInd w:val="0"/>
        <w:snapToGrid w:val="0"/>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评估工作实行信息公开制度，严肃评估纪律，开展“阳光评估”，广泛接受培养单位、教师、学生和社会的监督，确保公平公正。国务院教育督导委员会办公室联系人和电话：贺文杰，</w:t>
      </w:r>
      <w:r>
        <w:rPr>
          <w:rFonts w:ascii="Times New Roman" w:hAnsi="Times New Roman" w:eastAsia="仿宋_GB2312" w:cs="Times New Roman"/>
          <w:color w:val="000000" w:themeColor="text1"/>
          <w:sz w:val="32"/>
          <w:szCs w:val="32"/>
          <w14:textFill>
            <w14:solidFill>
              <w14:schemeClr w14:val="tx1"/>
            </w14:solidFill>
          </w14:textFill>
        </w:rPr>
        <w:t>010</w:t>
      </w:r>
      <w:r>
        <w:rPr>
          <w:rFonts w:hint="eastAsia" w:ascii="仿宋_GB2312"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66097825</w:t>
      </w:r>
      <w:r>
        <w:rPr>
          <w:rFonts w:hint="eastAsia" w:ascii="Times New Roman" w:hAnsi="Times New Roman" w:eastAsia="仿宋_GB2312" w:cs="Times New Roman"/>
          <w:color w:val="000000" w:themeColor="text1"/>
          <w:sz w:val="32"/>
          <w:szCs w:val="32"/>
          <w14:textFill>
            <w14:solidFill>
              <w14:schemeClr w14:val="tx1"/>
            </w14:solidFill>
          </w14:textFill>
        </w:rPr>
        <w:t>；教育部学位与研究生教育发展中心联系人和电话：韩婷婷，</w:t>
      </w:r>
      <w:r>
        <w:rPr>
          <w:rFonts w:ascii="Times New Roman" w:hAnsi="Times New Roman" w:eastAsia="仿宋_GB2312" w:cs="Times New Roman"/>
          <w:color w:val="000000" w:themeColor="text1"/>
          <w:sz w:val="32"/>
          <w:szCs w:val="32"/>
          <w14:textFill>
            <w14:solidFill>
              <w14:schemeClr w14:val="tx1"/>
            </w14:solidFill>
          </w14:textFill>
        </w:rPr>
        <w:t>010</w:t>
      </w:r>
      <w:r>
        <w:rPr>
          <w:rFonts w:hint="eastAsia" w:ascii="仿宋_GB2312"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82375512。</w:t>
      </w:r>
    </w:p>
    <w:p>
      <w:pPr>
        <w:overflowPunct w:val="0"/>
        <w:autoSpaceDE w:val="0"/>
        <w:autoSpaceDN w:val="0"/>
        <w:adjustRightInd w:val="0"/>
        <w:snapToGrid w:val="0"/>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p>
    <w:p>
      <w:pPr>
        <w:overflowPunct w:val="0"/>
        <w:autoSpaceDE w:val="0"/>
        <w:autoSpaceDN w:val="0"/>
        <w:adjustRightInd w:val="0"/>
        <w:snapToGrid w:val="0"/>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附：全国专业学位水平评估指标体系框架</w:t>
      </w:r>
    </w:p>
    <w:p>
      <w:pPr>
        <w:overflowPunct w:val="0"/>
        <w:autoSpaceDE w:val="0"/>
        <w:autoSpaceDN w:val="0"/>
        <w:adjustRightInd w:val="0"/>
        <w:snapToGrid w:val="0"/>
        <w:spacing w:line="56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p>
    <w:p>
      <w:pPr>
        <w:overflowPunct w:val="0"/>
        <w:autoSpaceDE w:val="0"/>
        <w:autoSpaceDN w:val="0"/>
        <w:adjustRightInd w:val="0"/>
        <w:snapToGrid w:val="0"/>
        <w:spacing w:line="560" w:lineRule="exact"/>
        <w:rPr>
          <w:rFonts w:ascii="Times New Roman" w:hAnsi="Times New Roman" w:eastAsia="方正仿宋简体" w:cs="Times New Roman"/>
          <w:color w:val="000000" w:themeColor="text1"/>
          <w:sz w:val="32"/>
          <w:szCs w:val="32"/>
          <w14:textFill>
            <w14:solidFill>
              <w14:schemeClr w14:val="tx1"/>
            </w14:solidFill>
          </w14:textFill>
        </w:rPr>
      </w:pPr>
    </w:p>
    <w:p>
      <w:pPr>
        <w:overflowPunct w:val="0"/>
        <w:snapToGrid w:val="0"/>
        <w:spacing w:line="480" w:lineRule="exact"/>
        <w:rPr>
          <w:rFonts w:ascii="Times New Roman" w:hAnsi="Times New Roman" w:eastAsia="黑体" w:cs="Times New Roman"/>
          <w:sz w:val="32"/>
          <w:szCs w:val="32"/>
        </w:rPr>
      </w:pPr>
      <w:r>
        <w:rPr>
          <w:rFonts w:ascii="Times New Roman" w:hAnsi="Times New Roman" w:eastAsia="黑体" w:cs="Times New Roman"/>
          <w:sz w:val="32"/>
          <w:szCs w:val="32"/>
        </w:rPr>
        <w:t>附</w:t>
      </w:r>
    </w:p>
    <w:p>
      <w:pPr>
        <w:overflowPunct w:val="0"/>
        <w:snapToGrid w:val="0"/>
        <w:spacing w:line="480" w:lineRule="exact"/>
        <w:rPr>
          <w:rFonts w:ascii="Times New Roman" w:hAnsi="Times New Roman" w:eastAsia="黑体" w:cs="Times New Roman"/>
          <w:sz w:val="32"/>
          <w:szCs w:val="32"/>
        </w:rPr>
      </w:pPr>
      <w:r>
        <w:rPr>
          <w:rFonts w:ascii="Times New Roman" w:hAnsi="Times New Roman" w:eastAsia="黑体" w:cs="Times New Roman"/>
          <w:sz w:val="32"/>
          <w:szCs w:val="32"/>
        </w:rPr>
        <w:t xml:space="preserve">                                                                </w:t>
      </w:r>
    </w:p>
    <w:p>
      <w:pPr>
        <w:overflowPunct w:val="0"/>
        <w:adjustRightInd w:val="0"/>
        <w:snapToGrid w:val="0"/>
        <w:spacing w:line="480" w:lineRule="exact"/>
        <w:jc w:val="center"/>
        <w:rPr>
          <w:rFonts w:ascii="方正小标宋简体" w:hAnsi="华文中宋" w:eastAsia="方正小标宋简体"/>
          <w:sz w:val="44"/>
          <w:szCs w:val="36"/>
        </w:rPr>
      </w:pPr>
      <w:r>
        <w:rPr>
          <w:rFonts w:hint="eastAsia" w:ascii="方正小标宋简体" w:hAnsi="华文中宋" w:eastAsia="方正小标宋简体"/>
          <w:sz w:val="44"/>
          <w:szCs w:val="36"/>
        </w:rPr>
        <w:t>全国专业学位水平评估指标体系框架</w:t>
      </w:r>
    </w:p>
    <w:p>
      <w:pPr>
        <w:overflowPunct w:val="0"/>
        <w:adjustRightInd w:val="0"/>
        <w:snapToGrid w:val="0"/>
        <w:spacing w:line="280" w:lineRule="exact"/>
        <w:rPr>
          <w:rFonts w:ascii="方正小标宋简体" w:hAnsi="华文中宋" w:eastAsia="方正小标宋简体"/>
          <w:b/>
          <w:sz w:val="44"/>
          <w:szCs w:val="36"/>
        </w:rPr>
      </w:pPr>
    </w:p>
    <w:tbl>
      <w:tblPr>
        <w:tblStyle w:val="9"/>
        <w:tblW w:w="8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2394"/>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844" w:type="dxa"/>
            <w:tcBorders>
              <w:top w:val="single" w:color="auto" w:sz="12" w:space="0"/>
              <w:left w:val="single" w:color="auto" w:sz="12" w:space="0"/>
              <w:bottom w:val="double" w:color="auto" w:sz="4" w:space="0"/>
            </w:tcBorders>
            <w:shd w:val="clear" w:color="auto" w:fill="auto"/>
            <w:vAlign w:val="center"/>
          </w:tcPr>
          <w:p>
            <w:pPr>
              <w:overflowPunct w:val="0"/>
              <w:adjustRightInd w:val="0"/>
              <w:snapToGrid w:val="0"/>
              <w:spacing w:line="240" w:lineRule="atLeast"/>
              <w:jc w:val="center"/>
              <w:rPr>
                <w:rFonts w:ascii="Times New Roman" w:hAnsi="Times New Roman" w:eastAsia="仿宋_GB2312"/>
                <w:b/>
                <w:sz w:val="28"/>
                <w:szCs w:val="28"/>
              </w:rPr>
            </w:pPr>
            <w:r>
              <w:rPr>
                <w:rFonts w:hint="eastAsia" w:ascii="Times New Roman" w:hAnsi="Times New Roman" w:eastAsia="仿宋_GB2312"/>
                <w:b/>
                <w:sz w:val="28"/>
                <w:szCs w:val="28"/>
              </w:rPr>
              <w:t>一级指标</w:t>
            </w:r>
          </w:p>
        </w:tc>
        <w:tc>
          <w:tcPr>
            <w:tcW w:w="2394" w:type="dxa"/>
            <w:tcBorders>
              <w:top w:val="single" w:color="auto" w:sz="12" w:space="0"/>
              <w:bottom w:val="double" w:color="auto" w:sz="4" w:space="0"/>
            </w:tcBorders>
            <w:shd w:val="clear" w:color="auto" w:fill="auto"/>
            <w:vAlign w:val="center"/>
          </w:tcPr>
          <w:p>
            <w:pPr>
              <w:overflowPunct w:val="0"/>
              <w:adjustRightInd w:val="0"/>
              <w:snapToGrid w:val="0"/>
              <w:spacing w:line="240" w:lineRule="atLeast"/>
              <w:jc w:val="center"/>
              <w:rPr>
                <w:rFonts w:ascii="Times New Roman" w:hAnsi="Times New Roman" w:eastAsia="仿宋_GB2312"/>
                <w:b/>
                <w:sz w:val="28"/>
                <w:szCs w:val="28"/>
              </w:rPr>
            </w:pPr>
            <w:r>
              <w:rPr>
                <w:rFonts w:hint="eastAsia" w:ascii="Times New Roman" w:hAnsi="Times New Roman" w:eastAsia="仿宋_GB2312"/>
                <w:b/>
                <w:sz w:val="28"/>
                <w:szCs w:val="28"/>
              </w:rPr>
              <w:t>二级指标</w:t>
            </w:r>
          </w:p>
        </w:tc>
        <w:tc>
          <w:tcPr>
            <w:tcW w:w="4678" w:type="dxa"/>
            <w:tcBorders>
              <w:top w:val="single" w:color="auto" w:sz="12" w:space="0"/>
              <w:bottom w:val="double" w:color="auto" w:sz="4" w:space="0"/>
              <w:right w:val="single" w:color="auto" w:sz="12" w:space="0"/>
            </w:tcBorders>
            <w:shd w:val="clear" w:color="auto" w:fill="auto"/>
            <w:vAlign w:val="center"/>
          </w:tcPr>
          <w:p>
            <w:pPr>
              <w:overflowPunct w:val="0"/>
              <w:adjustRightInd w:val="0"/>
              <w:snapToGrid w:val="0"/>
              <w:spacing w:line="240" w:lineRule="atLeast"/>
              <w:jc w:val="center"/>
              <w:rPr>
                <w:rFonts w:ascii="Times New Roman" w:hAnsi="Times New Roman" w:eastAsia="仿宋_GB2312"/>
                <w:b/>
                <w:sz w:val="28"/>
                <w:szCs w:val="28"/>
              </w:rPr>
            </w:pPr>
            <w:r>
              <w:rPr>
                <w:rFonts w:hint="eastAsia" w:ascii="Times New Roman" w:hAnsi="Times New Roman" w:eastAsia="仿宋_GB2312"/>
                <w:b/>
                <w:sz w:val="28"/>
                <w:szCs w:val="28"/>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4" w:type="dxa"/>
            <w:vMerge w:val="restart"/>
            <w:tcBorders>
              <w:top w:val="double" w:color="auto" w:sz="4" w:space="0"/>
              <w:left w:val="single" w:color="auto" w:sz="12" w:space="0"/>
            </w:tcBorders>
            <w:vAlign w:val="center"/>
          </w:tcPr>
          <w:p>
            <w:pPr>
              <w:overflowPunct w:val="0"/>
              <w:adjustRightInd w:val="0"/>
              <w:snapToGrid w:val="0"/>
              <w:spacing w:line="240" w:lineRule="atLeast"/>
              <w:jc w:val="center"/>
              <w:rPr>
                <w:rFonts w:ascii="Times New Roman" w:hAnsi="Times New Roman" w:eastAsia="仿宋_GB2312"/>
                <w:b/>
                <w:sz w:val="28"/>
                <w:szCs w:val="28"/>
              </w:rPr>
            </w:pPr>
            <w:r>
              <w:rPr>
                <w:rFonts w:ascii="Times New Roman" w:hAnsi="Times New Roman" w:eastAsia="仿宋_GB2312"/>
                <w:b/>
                <w:sz w:val="28"/>
                <w:szCs w:val="28"/>
              </w:rPr>
              <w:t>A.</w:t>
            </w:r>
          </w:p>
          <w:p>
            <w:pPr>
              <w:overflowPunct w:val="0"/>
              <w:adjustRightInd w:val="0"/>
              <w:snapToGrid w:val="0"/>
              <w:spacing w:line="240" w:lineRule="atLeast"/>
              <w:jc w:val="center"/>
              <w:rPr>
                <w:rFonts w:ascii="Times New Roman" w:hAnsi="Times New Roman" w:eastAsia="仿宋_GB2312"/>
                <w:b/>
                <w:sz w:val="28"/>
                <w:szCs w:val="28"/>
              </w:rPr>
            </w:pPr>
            <w:r>
              <w:rPr>
                <w:rFonts w:hint="eastAsia" w:ascii="Times New Roman" w:hAnsi="Times New Roman" w:eastAsia="仿宋_GB2312"/>
                <w:b/>
                <w:sz w:val="28"/>
                <w:szCs w:val="28"/>
              </w:rPr>
              <w:t>教学质量</w:t>
            </w:r>
          </w:p>
        </w:tc>
        <w:tc>
          <w:tcPr>
            <w:tcW w:w="2394" w:type="dxa"/>
            <w:tcBorders>
              <w:top w:val="double" w:color="auto" w:sz="4" w:space="0"/>
              <w:bottom w:val="single" w:color="auto" w:sz="4" w:space="0"/>
            </w:tcBorders>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A0.</w:t>
            </w:r>
            <w:r>
              <w:rPr>
                <w:rFonts w:hint="eastAsia" w:ascii="Times New Roman" w:hAnsi="Times New Roman" w:eastAsia="仿宋_GB2312"/>
                <w:sz w:val="28"/>
                <w:szCs w:val="28"/>
              </w:rPr>
              <w:t>培养方案与特色</w:t>
            </w:r>
          </w:p>
        </w:tc>
        <w:tc>
          <w:tcPr>
            <w:tcW w:w="4678" w:type="dxa"/>
            <w:tcBorders>
              <w:top w:val="double" w:color="auto" w:sz="4" w:space="0"/>
              <w:bottom w:val="single" w:color="auto" w:sz="4" w:space="0"/>
              <w:right w:val="single" w:color="auto" w:sz="12" w:space="0"/>
            </w:tcBorders>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S0.</w:t>
            </w:r>
            <w:r>
              <w:rPr>
                <w:rFonts w:hint="eastAsia" w:ascii="Times New Roman" w:hAnsi="Times New Roman" w:eastAsia="仿宋_GB2312"/>
                <w:sz w:val="28"/>
                <w:szCs w:val="28"/>
              </w:rPr>
              <w:t>培养方案与特色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4" w:type="dxa"/>
            <w:vMerge w:val="continue"/>
            <w:tcBorders>
              <w:left w:val="single" w:color="auto" w:sz="12" w:space="0"/>
            </w:tcBorders>
            <w:vAlign w:val="center"/>
          </w:tcPr>
          <w:p>
            <w:pPr>
              <w:overflowPunct w:val="0"/>
              <w:adjustRightInd w:val="0"/>
              <w:snapToGrid w:val="0"/>
              <w:spacing w:line="240" w:lineRule="atLeast"/>
              <w:jc w:val="center"/>
              <w:rPr>
                <w:rFonts w:ascii="Times New Roman" w:hAnsi="Times New Roman" w:eastAsia="仿宋_GB2312"/>
                <w:b/>
                <w:sz w:val="28"/>
                <w:szCs w:val="28"/>
              </w:rPr>
            </w:pPr>
          </w:p>
        </w:tc>
        <w:tc>
          <w:tcPr>
            <w:tcW w:w="2394" w:type="dxa"/>
            <w:vMerge w:val="restart"/>
            <w:tcBorders>
              <w:top w:val="single" w:color="auto" w:sz="4" w:space="0"/>
            </w:tcBorders>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A1.</w:t>
            </w:r>
            <w:r>
              <w:rPr>
                <w:rFonts w:hint="eastAsia" w:ascii="Times New Roman" w:hAnsi="Times New Roman" w:eastAsia="仿宋_GB2312"/>
                <w:sz w:val="28"/>
                <w:szCs w:val="28"/>
              </w:rPr>
              <w:t>思政教育成效</w:t>
            </w:r>
          </w:p>
        </w:tc>
        <w:tc>
          <w:tcPr>
            <w:tcW w:w="4678" w:type="dxa"/>
            <w:tcBorders>
              <w:top w:val="single" w:color="auto" w:sz="4" w:space="0"/>
              <w:right w:val="single" w:color="auto" w:sz="12" w:space="0"/>
            </w:tcBorders>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S1.</w:t>
            </w:r>
            <w:r>
              <w:rPr>
                <w:rFonts w:hint="eastAsia" w:ascii="Times New Roman" w:hAnsi="Times New Roman" w:eastAsia="仿宋_GB2312"/>
                <w:sz w:val="28"/>
                <w:szCs w:val="28"/>
              </w:rPr>
              <w:t>思政教育特色与成效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4" w:type="dxa"/>
            <w:vMerge w:val="continue"/>
            <w:tcBorders>
              <w:left w:val="single" w:color="auto" w:sz="12" w:space="0"/>
            </w:tcBorders>
            <w:vAlign w:val="center"/>
          </w:tcPr>
          <w:p>
            <w:pPr>
              <w:overflowPunct w:val="0"/>
              <w:adjustRightInd w:val="0"/>
              <w:snapToGrid w:val="0"/>
              <w:spacing w:line="240" w:lineRule="atLeast"/>
              <w:jc w:val="center"/>
              <w:rPr>
                <w:rFonts w:ascii="Times New Roman" w:hAnsi="Times New Roman" w:eastAsia="仿宋_GB2312"/>
                <w:b/>
                <w:sz w:val="28"/>
                <w:szCs w:val="28"/>
              </w:rPr>
            </w:pPr>
          </w:p>
        </w:tc>
        <w:tc>
          <w:tcPr>
            <w:tcW w:w="2394" w:type="dxa"/>
            <w:vMerge w:val="continue"/>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p>
        </w:tc>
        <w:tc>
          <w:tcPr>
            <w:tcW w:w="4678" w:type="dxa"/>
            <w:tcBorders>
              <w:right w:val="single" w:color="auto" w:sz="12" w:space="0"/>
            </w:tcBorders>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S2.</w:t>
            </w:r>
            <w:r>
              <w:rPr>
                <w:rFonts w:hint="eastAsia" w:ascii="Times New Roman" w:hAnsi="Times New Roman" w:eastAsia="仿宋_GB2312"/>
                <w:sz w:val="28"/>
                <w:szCs w:val="28"/>
              </w:rPr>
              <w:t>职业道德与职业伦理教育情况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4" w:type="dxa"/>
            <w:vMerge w:val="continue"/>
            <w:tcBorders>
              <w:left w:val="single" w:color="auto" w:sz="12" w:space="0"/>
            </w:tcBorders>
            <w:vAlign w:val="center"/>
          </w:tcPr>
          <w:p>
            <w:pPr>
              <w:overflowPunct w:val="0"/>
              <w:adjustRightInd w:val="0"/>
              <w:snapToGrid w:val="0"/>
              <w:spacing w:line="240" w:lineRule="atLeast"/>
              <w:rPr>
                <w:rFonts w:ascii="Times New Roman" w:hAnsi="Times New Roman" w:eastAsia="仿宋_GB2312"/>
                <w:b/>
                <w:sz w:val="28"/>
                <w:szCs w:val="28"/>
              </w:rPr>
            </w:pPr>
          </w:p>
        </w:tc>
        <w:tc>
          <w:tcPr>
            <w:tcW w:w="2394" w:type="dxa"/>
            <w:vMerge w:val="restart"/>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A2.</w:t>
            </w:r>
            <w:r>
              <w:rPr>
                <w:rFonts w:hint="eastAsia" w:ascii="Times New Roman" w:hAnsi="Times New Roman" w:eastAsia="仿宋_GB2312"/>
                <w:sz w:val="28"/>
                <w:szCs w:val="28"/>
              </w:rPr>
              <w:t>课程与实践教学质量</w:t>
            </w:r>
          </w:p>
        </w:tc>
        <w:tc>
          <w:tcPr>
            <w:tcW w:w="4678" w:type="dxa"/>
            <w:tcBorders>
              <w:right w:val="single" w:color="auto" w:sz="12" w:space="0"/>
            </w:tcBorders>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S3.</w:t>
            </w:r>
            <w:r>
              <w:rPr>
                <w:rFonts w:hint="eastAsia" w:ascii="Times New Roman" w:hAnsi="Times New Roman" w:eastAsia="仿宋_GB2312"/>
                <w:sz w:val="28"/>
                <w:szCs w:val="28"/>
              </w:rPr>
              <w:t>课程教学质量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4" w:type="dxa"/>
            <w:vMerge w:val="continue"/>
            <w:tcBorders>
              <w:left w:val="single" w:color="auto" w:sz="12" w:space="0"/>
            </w:tcBorders>
            <w:vAlign w:val="center"/>
          </w:tcPr>
          <w:p>
            <w:pPr>
              <w:overflowPunct w:val="0"/>
              <w:adjustRightInd w:val="0"/>
              <w:snapToGrid w:val="0"/>
              <w:spacing w:line="240" w:lineRule="atLeast"/>
              <w:rPr>
                <w:rFonts w:ascii="Times New Roman" w:hAnsi="Times New Roman" w:eastAsia="仿宋_GB2312"/>
                <w:b/>
                <w:sz w:val="28"/>
                <w:szCs w:val="28"/>
              </w:rPr>
            </w:pPr>
          </w:p>
        </w:tc>
        <w:tc>
          <w:tcPr>
            <w:tcW w:w="2394" w:type="dxa"/>
            <w:vMerge w:val="continue"/>
            <w:vAlign w:val="center"/>
          </w:tcPr>
          <w:p>
            <w:pPr>
              <w:overflowPunct w:val="0"/>
              <w:adjustRightInd w:val="0"/>
              <w:snapToGrid w:val="0"/>
              <w:spacing w:line="240" w:lineRule="atLeast"/>
              <w:jc w:val="left"/>
              <w:rPr>
                <w:rFonts w:ascii="Times New Roman" w:hAnsi="Times New Roman" w:eastAsia="仿宋_GB2312"/>
                <w:sz w:val="28"/>
                <w:szCs w:val="28"/>
              </w:rPr>
            </w:pPr>
          </w:p>
        </w:tc>
        <w:tc>
          <w:tcPr>
            <w:tcW w:w="4678" w:type="dxa"/>
            <w:tcBorders>
              <w:right w:val="single" w:color="auto" w:sz="12" w:space="0"/>
            </w:tcBorders>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S4.</w:t>
            </w:r>
            <w:r>
              <w:rPr>
                <w:rFonts w:hint="eastAsia" w:ascii="Times New Roman" w:hAnsi="Times New Roman" w:eastAsia="仿宋_GB2312"/>
                <w:sz w:val="28"/>
                <w:szCs w:val="28"/>
              </w:rPr>
              <w:t>专业实践质量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4" w:type="dxa"/>
            <w:vMerge w:val="continue"/>
            <w:tcBorders>
              <w:left w:val="single" w:color="auto" w:sz="12" w:space="0"/>
            </w:tcBorders>
            <w:vAlign w:val="center"/>
          </w:tcPr>
          <w:p>
            <w:pPr>
              <w:overflowPunct w:val="0"/>
              <w:adjustRightInd w:val="0"/>
              <w:snapToGrid w:val="0"/>
              <w:spacing w:line="240" w:lineRule="atLeast"/>
              <w:rPr>
                <w:rFonts w:ascii="Times New Roman" w:hAnsi="Times New Roman" w:eastAsia="仿宋_GB2312"/>
                <w:b/>
                <w:sz w:val="28"/>
                <w:szCs w:val="28"/>
              </w:rPr>
            </w:pPr>
          </w:p>
        </w:tc>
        <w:tc>
          <w:tcPr>
            <w:tcW w:w="2394" w:type="dxa"/>
            <w:vMerge w:val="continue"/>
            <w:vAlign w:val="center"/>
          </w:tcPr>
          <w:p>
            <w:pPr>
              <w:overflowPunct w:val="0"/>
              <w:adjustRightInd w:val="0"/>
              <w:snapToGrid w:val="0"/>
              <w:spacing w:line="240" w:lineRule="atLeast"/>
              <w:jc w:val="left"/>
              <w:rPr>
                <w:rFonts w:ascii="Times New Roman" w:hAnsi="Times New Roman" w:eastAsia="仿宋_GB2312"/>
                <w:sz w:val="28"/>
                <w:szCs w:val="28"/>
              </w:rPr>
            </w:pPr>
          </w:p>
        </w:tc>
        <w:tc>
          <w:tcPr>
            <w:tcW w:w="4678" w:type="dxa"/>
            <w:tcBorders>
              <w:right w:val="single" w:color="auto" w:sz="12" w:space="0"/>
            </w:tcBorders>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S5.</w:t>
            </w:r>
            <w:r>
              <w:rPr>
                <w:rFonts w:hint="eastAsia" w:ascii="Times New Roman" w:hAnsi="Times New Roman" w:eastAsia="仿宋_GB2312"/>
                <w:sz w:val="28"/>
                <w:szCs w:val="28"/>
              </w:rPr>
              <w:t>师资队伍质量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44" w:type="dxa"/>
            <w:vMerge w:val="continue"/>
            <w:tcBorders>
              <w:left w:val="single" w:color="auto" w:sz="12" w:space="0"/>
            </w:tcBorders>
            <w:vAlign w:val="center"/>
          </w:tcPr>
          <w:p>
            <w:pPr>
              <w:overflowPunct w:val="0"/>
              <w:adjustRightInd w:val="0"/>
              <w:snapToGrid w:val="0"/>
              <w:spacing w:line="240" w:lineRule="atLeast"/>
              <w:rPr>
                <w:rFonts w:ascii="Times New Roman" w:hAnsi="Times New Roman" w:eastAsia="仿宋_GB2312"/>
                <w:b/>
                <w:sz w:val="28"/>
                <w:szCs w:val="28"/>
              </w:rPr>
            </w:pPr>
          </w:p>
        </w:tc>
        <w:tc>
          <w:tcPr>
            <w:tcW w:w="2394" w:type="dxa"/>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A3.</w:t>
            </w:r>
            <w:r>
              <w:rPr>
                <w:rFonts w:hint="eastAsia" w:ascii="Times New Roman" w:hAnsi="Times New Roman" w:eastAsia="仿宋_GB2312"/>
                <w:sz w:val="28"/>
                <w:szCs w:val="28"/>
              </w:rPr>
              <w:t>学生满意度</w:t>
            </w:r>
          </w:p>
        </w:tc>
        <w:tc>
          <w:tcPr>
            <w:tcW w:w="4678" w:type="dxa"/>
            <w:tcBorders>
              <w:right w:val="single" w:color="auto" w:sz="12" w:space="0"/>
            </w:tcBorders>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S6.</w:t>
            </w:r>
            <w:r>
              <w:rPr>
                <w:rFonts w:hint="eastAsia" w:ascii="Times New Roman" w:hAnsi="Times New Roman" w:eastAsia="仿宋_GB2312"/>
                <w:sz w:val="28"/>
                <w:szCs w:val="28"/>
              </w:rPr>
              <w:t>学生满意度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4" w:type="dxa"/>
            <w:vMerge w:val="restart"/>
            <w:tcBorders>
              <w:top w:val="single" w:color="auto" w:sz="12" w:space="0"/>
              <w:left w:val="single" w:color="auto" w:sz="12" w:space="0"/>
            </w:tcBorders>
            <w:vAlign w:val="center"/>
          </w:tcPr>
          <w:p>
            <w:pPr>
              <w:overflowPunct w:val="0"/>
              <w:adjustRightInd w:val="0"/>
              <w:snapToGrid w:val="0"/>
              <w:spacing w:line="240" w:lineRule="atLeast"/>
              <w:jc w:val="center"/>
              <w:rPr>
                <w:rFonts w:ascii="Times New Roman" w:hAnsi="Times New Roman" w:eastAsia="仿宋_GB2312"/>
                <w:b/>
                <w:sz w:val="28"/>
                <w:szCs w:val="28"/>
              </w:rPr>
            </w:pPr>
            <w:r>
              <w:rPr>
                <w:rFonts w:ascii="Times New Roman" w:hAnsi="Times New Roman" w:eastAsia="仿宋_GB2312"/>
                <w:b/>
                <w:sz w:val="28"/>
                <w:szCs w:val="28"/>
              </w:rPr>
              <w:t>B.</w:t>
            </w:r>
          </w:p>
          <w:p>
            <w:pPr>
              <w:overflowPunct w:val="0"/>
              <w:adjustRightInd w:val="0"/>
              <w:snapToGrid w:val="0"/>
              <w:spacing w:line="240" w:lineRule="atLeast"/>
              <w:jc w:val="center"/>
              <w:rPr>
                <w:rFonts w:ascii="Times New Roman" w:hAnsi="Times New Roman" w:eastAsia="仿宋_GB2312"/>
                <w:b/>
                <w:sz w:val="28"/>
                <w:szCs w:val="28"/>
              </w:rPr>
            </w:pPr>
            <w:r>
              <w:rPr>
                <w:rFonts w:hint="eastAsia" w:ascii="Times New Roman" w:hAnsi="Times New Roman" w:eastAsia="仿宋_GB2312"/>
                <w:b/>
                <w:sz w:val="28"/>
                <w:szCs w:val="28"/>
              </w:rPr>
              <w:t>学习质量</w:t>
            </w:r>
          </w:p>
        </w:tc>
        <w:tc>
          <w:tcPr>
            <w:tcW w:w="2394" w:type="dxa"/>
            <w:vMerge w:val="restart"/>
            <w:tcBorders>
              <w:top w:val="single" w:color="auto" w:sz="12" w:space="0"/>
            </w:tcBorders>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B1.</w:t>
            </w:r>
            <w:r>
              <w:rPr>
                <w:rFonts w:hint="eastAsia" w:ascii="Times New Roman" w:hAnsi="Times New Roman" w:eastAsia="仿宋_GB2312"/>
                <w:sz w:val="28"/>
                <w:szCs w:val="28"/>
              </w:rPr>
              <w:t>在学成果</w:t>
            </w:r>
          </w:p>
        </w:tc>
        <w:tc>
          <w:tcPr>
            <w:tcW w:w="4678" w:type="dxa"/>
            <w:tcBorders>
              <w:top w:val="single" w:color="auto" w:sz="12" w:space="0"/>
              <w:right w:val="single" w:color="auto" w:sz="12" w:space="0"/>
            </w:tcBorders>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S7.</w:t>
            </w:r>
            <w:r>
              <w:rPr>
                <w:rFonts w:hint="eastAsia" w:ascii="Times New Roman" w:hAnsi="Times New Roman" w:eastAsia="仿宋_GB2312"/>
                <w:sz w:val="28"/>
                <w:szCs w:val="28"/>
              </w:rPr>
              <w:t>应用性成果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4" w:type="dxa"/>
            <w:vMerge w:val="continue"/>
            <w:tcBorders>
              <w:top w:val="single" w:color="auto" w:sz="12" w:space="0"/>
              <w:left w:val="single" w:color="auto" w:sz="12" w:space="0"/>
            </w:tcBorders>
            <w:vAlign w:val="center"/>
          </w:tcPr>
          <w:p>
            <w:pPr>
              <w:overflowPunct w:val="0"/>
              <w:adjustRightInd w:val="0"/>
              <w:snapToGrid w:val="0"/>
              <w:spacing w:line="240" w:lineRule="atLeast"/>
              <w:jc w:val="center"/>
              <w:rPr>
                <w:rFonts w:ascii="Times New Roman" w:hAnsi="Times New Roman" w:eastAsia="仿宋_GB2312"/>
                <w:b/>
                <w:sz w:val="28"/>
                <w:szCs w:val="28"/>
              </w:rPr>
            </w:pPr>
          </w:p>
        </w:tc>
        <w:tc>
          <w:tcPr>
            <w:tcW w:w="2394" w:type="dxa"/>
            <w:vMerge w:val="continue"/>
            <w:tcBorders>
              <w:top w:val="single" w:color="auto" w:sz="12" w:space="0"/>
            </w:tcBorders>
            <w:vAlign w:val="center"/>
          </w:tcPr>
          <w:p>
            <w:pPr>
              <w:overflowPunct w:val="0"/>
              <w:adjustRightInd w:val="0"/>
              <w:snapToGrid w:val="0"/>
              <w:spacing w:line="240" w:lineRule="atLeast"/>
              <w:jc w:val="left"/>
              <w:rPr>
                <w:rFonts w:ascii="Times New Roman" w:hAnsi="Times New Roman" w:eastAsia="仿宋_GB2312"/>
                <w:sz w:val="28"/>
                <w:szCs w:val="28"/>
              </w:rPr>
            </w:pPr>
          </w:p>
        </w:tc>
        <w:tc>
          <w:tcPr>
            <w:tcW w:w="4678" w:type="dxa"/>
            <w:tcBorders>
              <w:top w:val="single" w:color="auto" w:sz="4" w:space="0"/>
              <w:right w:val="single" w:color="auto" w:sz="12" w:space="0"/>
            </w:tcBorders>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S8.</w:t>
            </w:r>
            <w:r>
              <w:rPr>
                <w:rFonts w:hint="eastAsia" w:ascii="Times New Roman" w:hAnsi="Times New Roman" w:eastAsia="仿宋_GB2312"/>
                <w:sz w:val="28"/>
                <w:szCs w:val="28"/>
              </w:rPr>
              <w:t>学位论文质量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4" w:type="dxa"/>
            <w:vMerge w:val="continue"/>
            <w:tcBorders>
              <w:top w:val="single" w:color="auto" w:sz="12" w:space="0"/>
              <w:left w:val="single" w:color="auto" w:sz="12" w:space="0"/>
            </w:tcBorders>
            <w:vAlign w:val="center"/>
          </w:tcPr>
          <w:p>
            <w:pPr>
              <w:overflowPunct w:val="0"/>
              <w:adjustRightInd w:val="0"/>
              <w:snapToGrid w:val="0"/>
              <w:spacing w:line="240" w:lineRule="atLeast"/>
              <w:jc w:val="center"/>
              <w:rPr>
                <w:rFonts w:ascii="Times New Roman" w:hAnsi="Times New Roman" w:eastAsia="仿宋_GB2312"/>
                <w:b/>
                <w:sz w:val="28"/>
                <w:szCs w:val="28"/>
              </w:rPr>
            </w:pPr>
          </w:p>
        </w:tc>
        <w:tc>
          <w:tcPr>
            <w:tcW w:w="2394" w:type="dxa"/>
            <w:vMerge w:val="continue"/>
            <w:tcBorders>
              <w:top w:val="single" w:color="auto" w:sz="12" w:space="0"/>
            </w:tcBorders>
            <w:vAlign w:val="center"/>
          </w:tcPr>
          <w:p>
            <w:pPr>
              <w:overflowPunct w:val="0"/>
              <w:adjustRightInd w:val="0"/>
              <w:snapToGrid w:val="0"/>
              <w:spacing w:line="240" w:lineRule="atLeast"/>
              <w:jc w:val="left"/>
              <w:rPr>
                <w:rFonts w:ascii="Times New Roman" w:hAnsi="Times New Roman" w:eastAsia="仿宋_GB2312"/>
                <w:sz w:val="28"/>
                <w:szCs w:val="28"/>
              </w:rPr>
            </w:pPr>
          </w:p>
        </w:tc>
        <w:tc>
          <w:tcPr>
            <w:tcW w:w="4678" w:type="dxa"/>
            <w:tcBorders>
              <w:top w:val="single" w:color="auto" w:sz="4" w:space="0"/>
              <w:right w:val="single" w:color="auto" w:sz="12" w:space="0"/>
            </w:tcBorders>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S9.</w:t>
            </w:r>
            <w:r>
              <w:rPr>
                <w:rFonts w:hint="eastAsia" w:ascii="Times New Roman" w:hAnsi="Times New Roman" w:eastAsia="仿宋_GB2312"/>
                <w:sz w:val="28"/>
                <w:szCs w:val="28"/>
              </w:rPr>
              <w:t>毕业成果质量（部分专业学位）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4" w:type="dxa"/>
            <w:vMerge w:val="continue"/>
            <w:tcBorders>
              <w:top w:val="single" w:color="auto" w:sz="12" w:space="0"/>
              <w:left w:val="single" w:color="auto" w:sz="12" w:space="0"/>
            </w:tcBorders>
            <w:vAlign w:val="center"/>
          </w:tcPr>
          <w:p>
            <w:pPr>
              <w:overflowPunct w:val="0"/>
              <w:adjustRightInd w:val="0"/>
              <w:snapToGrid w:val="0"/>
              <w:spacing w:line="240" w:lineRule="atLeast"/>
              <w:jc w:val="center"/>
              <w:rPr>
                <w:rFonts w:ascii="Times New Roman" w:hAnsi="Times New Roman" w:eastAsia="仿宋_GB2312"/>
                <w:b/>
                <w:sz w:val="28"/>
                <w:szCs w:val="28"/>
              </w:rPr>
            </w:pPr>
          </w:p>
        </w:tc>
        <w:tc>
          <w:tcPr>
            <w:tcW w:w="2394" w:type="dxa"/>
            <w:vMerge w:val="continue"/>
            <w:tcBorders>
              <w:top w:val="single" w:color="auto" w:sz="12" w:space="0"/>
            </w:tcBorders>
            <w:vAlign w:val="center"/>
          </w:tcPr>
          <w:p>
            <w:pPr>
              <w:overflowPunct w:val="0"/>
              <w:adjustRightInd w:val="0"/>
              <w:snapToGrid w:val="0"/>
              <w:spacing w:line="240" w:lineRule="atLeast"/>
              <w:jc w:val="left"/>
              <w:rPr>
                <w:rFonts w:ascii="Times New Roman" w:hAnsi="Times New Roman" w:eastAsia="仿宋_GB2312"/>
                <w:sz w:val="28"/>
                <w:szCs w:val="28"/>
              </w:rPr>
            </w:pPr>
          </w:p>
        </w:tc>
        <w:tc>
          <w:tcPr>
            <w:tcW w:w="4678" w:type="dxa"/>
            <w:tcBorders>
              <w:top w:val="single" w:color="auto" w:sz="4" w:space="0"/>
              <w:right w:val="single" w:color="auto" w:sz="12" w:space="0"/>
            </w:tcBorders>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S10.</w:t>
            </w:r>
            <w:r>
              <w:rPr>
                <w:rFonts w:hint="eastAsia" w:ascii="Times New Roman" w:hAnsi="Times New Roman" w:eastAsia="仿宋_GB2312"/>
                <w:sz w:val="28"/>
                <w:szCs w:val="28"/>
              </w:rPr>
              <w:t>学生比赛获奖（部分专业学位）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4" w:type="dxa"/>
            <w:vMerge w:val="continue"/>
            <w:tcBorders>
              <w:top w:val="single" w:color="auto" w:sz="12" w:space="0"/>
              <w:left w:val="single" w:color="auto" w:sz="12" w:space="0"/>
            </w:tcBorders>
            <w:vAlign w:val="center"/>
          </w:tcPr>
          <w:p>
            <w:pPr>
              <w:overflowPunct w:val="0"/>
              <w:adjustRightInd w:val="0"/>
              <w:snapToGrid w:val="0"/>
              <w:spacing w:line="240" w:lineRule="atLeast"/>
              <w:jc w:val="center"/>
              <w:rPr>
                <w:rFonts w:ascii="Times New Roman" w:hAnsi="Times New Roman" w:eastAsia="仿宋_GB2312"/>
                <w:b/>
                <w:sz w:val="28"/>
                <w:szCs w:val="28"/>
              </w:rPr>
            </w:pPr>
          </w:p>
        </w:tc>
        <w:tc>
          <w:tcPr>
            <w:tcW w:w="2394" w:type="dxa"/>
            <w:vMerge w:val="continue"/>
            <w:tcBorders>
              <w:top w:val="single" w:color="auto" w:sz="12" w:space="0"/>
            </w:tcBorders>
            <w:vAlign w:val="center"/>
          </w:tcPr>
          <w:p>
            <w:pPr>
              <w:overflowPunct w:val="0"/>
              <w:adjustRightInd w:val="0"/>
              <w:snapToGrid w:val="0"/>
              <w:spacing w:line="240" w:lineRule="atLeast"/>
              <w:jc w:val="left"/>
              <w:rPr>
                <w:rFonts w:ascii="Times New Roman" w:hAnsi="Times New Roman" w:eastAsia="仿宋_GB2312"/>
                <w:sz w:val="28"/>
                <w:szCs w:val="28"/>
              </w:rPr>
            </w:pPr>
          </w:p>
        </w:tc>
        <w:tc>
          <w:tcPr>
            <w:tcW w:w="4678" w:type="dxa"/>
            <w:tcBorders>
              <w:top w:val="single" w:color="auto" w:sz="4" w:space="0"/>
              <w:right w:val="single" w:color="auto" w:sz="12" w:space="0"/>
            </w:tcBorders>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S11.</w:t>
            </w:r>
            <w:r>
              <w:rPr>
                <w:rFonts w:hint="eastAsia" w:ascii="Times New Roman" w:hAnsi="Times New Roman" w:eastAsia="仿宋_GB2312"/>
                <w:sz w:val="28"/>
                <w:szCs w:val="28"/>
              </w:rPr>
              <w:t>学生艺术创作获奖、展演</w:t>
            </w:r>
            <w:r>
              <w:rPr>
                <w:rFonts w:ascii="Times New Roman" w:hAnsi="Times New Roman" w:eastAsia="仿宋_GB2312"/>
                <w:sz w:val="28"/>
                <w:szCs w:val="28"/>
              </w:rPr>
              <w:t>/</w:t>
            </w:r>
            <w:r>
              <w:rPr>
                <w:rFonts w:hint="eastAsia" w:ascii="Times New Roman" w:hAnsi="Times New Roman" w:eastAsia="仿宋_GB2312"/>
                <w:sz w:val="28"/>
                <w:szCs w:val="28"/>
              </w:rPr>
              <w:t>展映</w:t>
            </w:r>
            <w:r>
              <w:rPr>
                <w:rFonts w:ascii="Times New Roman" w:hAnsi="Times New Roman" w:eastAsia="仿宋_GB2312"/>
                <w:sz w:val="28"/>
                <w:szCs w:val="28"/>
              </w:rPr>
              <w:t>/</w:t>
            </w:r>
            <w:r>
              <w:rPr>
                <w:rFonts w:hint="eastAsia" w:ascii="Times New Roman" w:hAnsi="Times New Roman" w:eastAsia="仿宋_GB2312"/>
                <w:sz w:val="28"/>
                <w:szCs w:val="28"/>
              </w:rPr>
              <w:t>展览、发表（部分专业学位）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4" w:type="dxa"/>
            <w:vMerge w:val="continue"/>
            <w:tcBorders>
              <w:left w:val="single" w:color="auto" w:sz="12" w:space="0"/>
            </w:tcBorders>
            <w:vAlign w:val="center"/>
          </w:tcPr>
          <w:p>
            <w:pPr>
              <w:overflowPunct w:val="0"/>
              <w:adjustRightInd w:val="0"/>
              <w:snapToGrid w:val="0"/>
              <w:spacing w:line="240" w:lineRule="atLeast"/>
              <w:jc w:val="center"/>
              <w:rPr>
                <w:rFonts w:ascii="Times New Roman" w:hAnsi="Times New Roman" w:eastAsia="仿宋_GB2312"/>
                <w:b/>
                <w:sz w:val="28"/>
                <w:szCs w:val="28"/>
              </w:rPr>
            </w:pPr>
          </w:p>
        </w:tc>
        <w:tc>
          <w:tcPr>
            <w:tcW w:w="2394" w:type="dxa"/>
            <w:vMerge w:val="continue"/>
            <w:vAlign w:val="center"/>
          </w:tcPr>
          <w:p>
            <w:pPr>
              <w:overflowPunct w:val="0"/>
              <w:adjustRightInd w:val="0"/>
              <w:snapToGrid w:val="0"/>
              <w:spacing w:line="240" w:lineRule="atLeast"/>
              <w:jc w:val="left"/>
              <w:rPr>
                <w:rFonts w:ascii="Times New Roman" w:hAnsi="Times New Roman" w:eastAsia="仿宋_GB2312"/>
                <w:sz w:val="28"/>
                <w:szCs w:val="28"/>
              </w:rPr>
            </w:pPr>
          </w:p>
        </w:tc>
        <w:tc>
          <w:tcPr>
            <w:tcW w:w="4678" w:type="dxa"/>
            <w:tcBorders>
              <w:right w:val="single" w:color="auto" w:sz="12" w:space="0"/>
            </w:tcBorders>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S12.</w:t>
            </w:r>
            <w:r>
              <w:rPr>
                <w:rFonts w:hint="eastAsia" w:ascii="Times New Roman" w:hAnsi="Times New Roman" w:eastAsia="仿宋_GB2312"/>
                <w:sz w:val="28"/>
                <w:szCs w:val="28"/>
              </w:rPr>
              <w:t>获得职（执）业资格证书情况（部分专业学位）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4" w:type="dxa"/>
            <w:vMerge w:val="continue"/>
            <w:tcBorders>
              <w:left w:val="single" w:color="auto" w:sz="12" w:space="0"/>
            </w:tcBorders>
            <w:vAlign w:val="center"/>
          </w:tcPr>
          <w:p>
            <w:pPr>
              <w:overflowPunct w:val="0"/>
              <w:adjustRightInd w:val="0"/>
              <w:snapToGrid w:val="0"/>
              <w:spacing w:line="240" w:lineRule="atLeast"/>
              <w:jc w:val="center"/>
              <w:rPr>
                <w:rFonts w:ascii="Times New Roman" w:hAnsi="Times New Roman" w:eastAsia="仿宋_GB2312"/>
                <w:b/>
                <w:sz w:val="28"/>
                <w:szCs w:val="28"/>
              </w:rPr>
            </w:pPr>
          </w:p>
        </w:tc>
        <w:tc>
          <w:tcPr>
            <w:tcW w:w="2394" w:type="dxa"/>
            <w:tcBorders>
              <w:bottom w:val="single" w:color="auto" w:sz="12" w:space="0"/>
            </w:tcBorders>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B2.</w:t>
            </w:r>
            <w:r>
              <w:rPr>
                <w:rFonts w:hint="eastAsia" w:ascii="Times New Roman" w:hAnsi="Times New Roman" w:eastAsia="仿宋_GB2312"/>
                <w:sz w:val="28"/>
                <w:szCs w:val="28"/>
              </w:rPr>
              <w:t>学生获得感</w:t>
            </w:r>
          </w:p>
        </w:tc>
        <w:tc>
          <w:tcPr>
            <w:tcW w:w="4678" w:type="dxa"/>
            <w:tcBorders>
              <w:bottom w:val="single" w:color="auto" w:sz="12" w:space="0"/>
              <w:right w:val="single" w:color="auto" w:sz="12" w:space="0"/>
            </w:tcBorders>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S13.</w:t>
            </w:r>
            <w:r>
              <w:rPr>
                <w:rFonts w:hint="eastAsia" w:ascii="Times New Roman" w:hAnsi="Times New Roman" w:eastAsia="仿宋_GB2312"/>
                <w:sz w:val="28"/>
                <w:szCs w:val="28"/>
              </w:rPr>
              <w:t>学生获得感</w:t>
            </w:r>
            <w:r>
              <w:rPr>
                <w:rFonts w:ascii="Times New Roman" w:hAnsi="Times New Roman" w:eastAsia="仿宋_GB2312"/>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4" w:type="dxa"/>
            <w:vMerge w:val="restart"/>
            <w:tcBorders>
              <w:top w:val="single" w:color="auto" w:sz="12" w:space="0"/>
              <w:left w:val="single" w:color="auto" w:sz="12" w:space="0"/>
            </w:tcBorders>
            <w:vAlign w:val="center"/>
          </w:tcPr>
          <w:p>
            <w:pPr>
              <w:overflowPunct w:val="0"/>
              <w:adjustRightInd w:val="0"/>
              <w:snapToGrid w:val="0"/>
              <w:spacing w:line="240" w:lineRule="atLeast"/>
              <w:jc w:val="center"/>
              <w:rPr>
                <w:rFonts w:ascii="Times New Roman" w:hAnsi="Times New Roman" w:eastAsia="仿宋_GB2312"/>
                <w:b/>
                <w:sz w:val="28"/>
                <w:szCs w:val="28"/>
              </w:rPr>
            </w:pPr>
            <w:r>
              <w:rPr>
                <w:rFonts w:ascii="Times New Roman" w:hAnsi="Times New Roman" w:eastAsia="仿宋_GB2312"/>
                <w:b/>
                <w:sz w:val="28"/>
                <w:szCs w:val="28"/>
              </w:rPr>
              <w:t>C.</w:t>
            </w:r>
          </w:p>
          <w:p>
            <w:pPr>
              <w:overflowPunct w:val="0"/>
              <w:adjustRightInd w:val="0"/>
              <w:snapToGrid w:val="0"/>
              <w:spacing w:line="240" w:lineRule="atLeast"/>
              <w:jc w:val="center"/>
              <w:rPr>
                <w:rFonts w:ascii="Times New Roman" w:hAnsi="Times New Roman" w:eastAsia="仿宋_GB2312"/>
                <w:b/>
                <w:sz w:val="28"/>
                <w:szCs w:val="28"/>
              </w:rPr>
            </w:pPr>
            <w:r>
              <w:rPr>
                <w:rFonts w:hint="eastAsia" w:ascii="Times New Roman" w:hAnsi="Times New Roman" w:eastAsia="仿宋_GB2312"/>
                <w:b/>
                <w:sz w:val="28"/>
                <w:szCs w:val="28"/>
              </w:rPr>
              <w:t>职业发展质量</w:t>
            </w:r>
          </w:p>
        </w:tc>
        <w:tc>
          <w:tcPr>
            <w:tcW w:w="2394" w:type="dxa"/>
            <w:vMerge w:val="restart"/>
            <w:tcBorders>
              <w:top w:val="single" w:color="auto" w:sz="12" w:space="0"/>
            </w:tcBorders>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C1.</w:t>
            </w:r>
            <w:r>
              <w:rPr>
                <w:rFonts w:hint="eastAsia" w:ascii="Times New Roman" w:hAnsi="Times New Roman" w:eastAsia="仿宋_GB2312"/>
                <w:sz w:val="28"/>
                <w:szCs w:val="28"/>
              </w:rPr>
              <w:t>毕业生质量</w:t>
            </w:r>
          </w:p>
        </w:tc>
        <w:tc>
          <w:tcPr>
            <w:tcW w:w="4678" w:type="dxa"/>
            <w:tcBorders>
              <w:top w:val="single" w:color="auto" w:sz="12" w:space="0"/>
              <w:right w:val="single" w:color="auto" w:sz="12" w:space="0"/>
            </w:tcBorders>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S14.</w:t>
            </w:r>
            <w:r>
              <w:rPr>
                <w:rFonts w:hint="eastAsia" w:ascii="Times New Roman" w:hAnsi="Times New Roman" w:eastAsia="仿宋_GB2312"/>
                <w:sz w:val="28"/>
                <w:szCs w:val="28"/>
              </w:rPr>
              <w:t>总体就业情况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4" w:type="dxa"/>
            <w:vMerge w:val="continue"/>
            <w:tcBorders>
              <w:top w:val="single" w:color="auto" w:sz="12" w:space="0"/>
              <w:left w:val="single" w:color="auto" w:sz="12" w:space="0"/>
            </w:tcBorders>
            <w:vAlign w:val="center"/>
          </w:tcPr>
          <w:p>
            <w:pPr>
              <w:overflowPunct w:val="0"/>
              <w:adjustRightInd w:val="0"/>
              <w:snapToGrid w:val="0"/>
              <w:spacing w:line="240" w:lineRule="atLeast"/>
              <w:jc w:val="center"/>
              <w:rPr>
                <w:rFonts w:ascii="Times New Roman" w:hAnsi="Times New Roman" w:eastAsia="仿宋_GB2312"/>
                <w:b/>
                <w:sz w:val="28"/>
                <w:szCs w:val="28"/>
              </w:rPr>
            </w:pPr>
          </w:p>
        </w:tc>
        <w:tc>
          <w:tcPr>
            <w:tcW w:w="2394" w:type="dxa"/>
            <w:vMerge w:val="continue"/>
            <w:vAlign w:val="center"/>
          </w:tcPr>
          <w:p>
            <w:pPr>
              <w:overflowPunct w:val="0"/>
              <w:adjustRightInd w:val="0"/>
              <w:snapToGrid w:val="0"/>
              <w:spacing w:line="240" w:lineRule="atLeast"/>
              <w:jc w:val="left"/>
              <w:rPr>
                <w:rFonts w:ascii="Times New Roman" w:hAnsi="Times New Roman" w:eastAsia="仿宋_GB2312"/>
                <w:sz w:val="28"/>
                <w:szCs w:val="28"/>
              </w:rPr>
            </w:pPr>
          </w:p>
        </w:tc>
        <w:tc>
          <w:tcPr>
            <w:tcW w:w="4678" w:type="dxa"/>
            <w:tcBorders>
              <w:top w:val="single" w:color="auto" w:sz="4" w:space="0"/>
              <w:right w:val="single" w:color="auto" w:sz="12" w:space="0"/>
            </w:tcBorders>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S15.</w:t>
            </w:r>
            <w:r>
              <w:rPr>
                <w:rFonts w:hint="eastAsia" w:ascii="Times New Roman" w:hAnsi="Times New Roman" w:eastAsia="仿宋_GB2312"/>
                <w:sz w:val="28"/>
                <w:szCs w:val="28"/>
              </w:rPr>
              <w:t>代表性毕业生情况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4" w:type="dxa"/>
            <w:vMerge w:val="continue"/>
            <w:tcBorders>
              <w:left w:val="single" w:color="auto" w:sz="12" w:space="0"/>
            </w:tcBorders>
            <w:vAlign w:val="center"/>
          </w:tcPr>
          <w:p>
            <w:pPr>
              <w:overflowPunct w:val="0"/>
              <w:adjustRightInd w:val="0"/>
              <w:snapToGrid w:val="0"/>
              <w:spacing w:line="240" w:lineRule="atLeast"/>
              <w:jc w:val="center"/>
              <w:rPr>
                <w:rFonts w:ascii="Times New Roman" w:hAnsi="Times New Roman" w:eastAsia="仿宋_GB2312"/>
                <w:b/>
                <w:sz w:val="28"/>
                <w:szCs w:val="28"/>
              </w:rPr>
            </w:pPr>
          </w:p>
        </w:tc>
        <w:tc>
          <w:tcPr>
            <w:tcW w:w="2394" w:type="dxa"/>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C2.</w:t>
            </w:r>
            <w:r>
              <w:rPr>
                <w:rFonts w:hint="eastAsia" w:ascii="Times New Roman" w:hAnsi="Times New Roman" w:eastAsia="仿宋_GB2312"/>
                <w:sz w:val="28"/>
                <w:szCs w:val="28"/>
              </w:rPr>
              <w:t>用人单位满意度</w:t>
            </w:r>
          </w:p>
        </w:tc>
        <w:tc>
          <w:tcPr>
            <w:tcW w:w="4678" w:type="dxa"/>
            <w:tcBorders>
              <w:right w:val="single" w:color="auto" w:sz="12" w:space="0"/>
            </w:tcBorders>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S16.</w:t>
            </w:r>
            <w:r>
              <w:rPr>
                <w:rFonts w:hint="eastAsia" w:ascii="Times New Roman" w:hAnsi="Times New Roman" w:eastAsia="仿宋_GB2312"/>
                <w:sz w:val="28"/>
                <w:szCs w:val="28"/>
              </w:rPr>
              <w:t>用人单位满意度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4" w:type="dxa"/>
            <w:vMerge w:val="continue"/>
            <w:tcBorders>
              <w:left w:val="single" w:color="auto" w:sz="12" w:space="0"/>
            </w:tcBorders>
            <w:vAlign w:val="center"/>
          </w:tcPr>
          <w:p>
            <w:pPr>
              <w:overflowPunct w:val="0"/>
              <w:adjustRightInd w:val="0"/>
              <w:snapToGrid w:val="0"/>
              <w:spacing w:line="240" w:lineRule="atLeast"/>
              <w:jc w:val="center"/>
              <w:rPr>
                <w:rFonts w:ascii="Times New Roman" w:hAnsi="Times New Roman" w:eastAsia="仿宋_GB2312"/>
                <w:b/>
                <w:sz w:val="28"/>
                <w:szCs w:val="28"/>
              </w:rPr>
            </w:pPr>
          </w:p>
        </w:tc>
        <w:tc>
          <w:tcPr>
            <w:tcW w:w="2394" w:type="dxa"/>
            <w:vMerge w:val="restart"/>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C3.</w:t>
            </w:r>
            <w:r>
              <w:rPr>
                <w:rFonts w:hint="eastAsia" w:ascii="Times New Roman" w:hAnsi="Times New Roman" w:eastAsia="仿宋_GB2312"/>
                <w:sz w:val="28"/>
                <w:szCs w:val="28"/>
              </w:rPr>
              <w:t>服务贡献与社会声誉</w:t>
            </w:r>
          </w:p>
        </w:tc>
        <w:tc>
          <w:tcPr>
            <w:tcW w:w="4678" w:type="dxa"/>
            <w:tcBorders>
              <w:right w:val="single" w:color="auto" w:sz="12" w:space="0"/>
            </w:tcBorders>
            <w:shd w:val="clear" w:color="auto" w:fill="auto"/>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S17.</w:t>
            </w:r>
            <w:r>
              <w:rPr>
                <w:rFonts w:hint="eastAsia" w:ascii="Times New Roman" w:hAnsi="Times New Roman" w:eastAsia="仿宋_GB2312"/>
                <w:sz w:val="28"/>
                <w:szCs w:val="28"/>
              </w:rPr>
              <w:t>服务贡献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4" w:type="dxa"/>
            <w:vMerge w:val="continue"/>
            <w:tcBorders>
              <w:left w:val="single" w:color="auto" w:sz="12" w:space="0"/>
              <w:bottom w:val="single" w:color="auto" w:sz="12" w:space="0"/>
            </w:tcBorders>
            <w:vAlign w:val="center"/>
          </w:tcPr>
          <w:p>
            <w:pPr>
              <w:overflowPunct w:val="0"/>
              <w:adjustRightInd w:val="0"/>
              <w:snapToGrid w:val="0"/>
              <w:spacing w:line="240" w:lineRule="atLeast"/>
              <w:rPr>
                <w:rFonts w:ascii="Times New Roman" w:hAnsi="Times New Roman" w:eastAsia="仿宋_GB2312"/>
                <w:sz w:val="28"/>
                <w:szCs w:val="28"/>
              </w:rPr>
            </w:pPr>
          </w:p>
        </w:tc>
        <w:tc>
          <w:tcPr>
            <w:tcW w:w="2394" w:type="dxa"/>
            <w:vMerge w:val="continue"/>
            <w:tcBorders>
              <w:bottom w:val="single" w:color="auto" w:sz="12" w:space="0"/>
            </w:tcBorders>
            <w:shd w:val="clear" w:color="auto" w:fill="FFFFFF" w:themeFill="background1"/>
            <w:vAlign w:val="center"/>
          </w:tcPr>
          <w:p>
            <w:pPr>
              <w:overflowPunct w:val="0"/>
              <w:adjustRightInd w:val="0"/>
              <w:snapToGrid w:val="0"/>
              <w:spacing w:line="240" w:lineRule="atLeast"/>
              <w:jc w:val="center"/>
              <w:rPr>
                <w:rFonts w:ascii="Times New Roman" w:hAnsi="Times New Roman" w:eastAsia="仿宋_GB2312"/>
                <w:sz w:val="28"/>
                <w:szCs w:val="28"/>
              </w:rPr>
            </w:pPr>
          </w:p>
        </w:tc>
        <w:tc>
          <w:tcPr>
            <w:tcW w:w="4678" w:type="dxa"/>
            <w:tcBorders>
              <w:bottom w:val="single" w:color="auto" w:sz="12" w:space="0"/>
              <w:right w:val="single" w:color="auto" w:sz="12" w:space="0"/>
            </w:tcBorders>
            <w:shd w:val="clear" w:color="auto" w:fill="FFFFFF" w:themeFill="background1"/>
            <w:vAlign w:val="center"/>
          </w:tcPr>
          <w:p>
            <w:pPr>
              <w:overflowPunct w:val="0"/>
              <w:adjustRightInd w:val="0"/>
              <w:snapToGrid w:val="0"/>
              <w:spacing w:line="240" w:lineRule="atLeast"/>
              <w:jc w:val="left"/>
              <w:rPr>
                <w:rFonts w:ascii="Times New Roman" w:hAnsi="Times New Roman" w:eastAsia="仿宋_GB2312"/>
                <w:sz w:val="28"/>
                <w:szCs w:val="28"/>
              </w:rPr>
            </w:pPr>
            <w:r>
              <w:rPr>
                <w:rFonts w:ascii="Times New Roman" w:hAnsi="Times New Roman" w:eastAsia="仿宋_GB2312"/>
                <w:sz w:val="28"/>
                <w:szCs w:val="28"/>
              </w:rPr>
              <w:t>S18.</w:t>
            </w:r>
            <w:r>
              <w:rPr>
                <w:rFonts w:hint="eastAsia" w:ascii="Times New Roman" w:hAnsi="Times New Roman" w:eastAsia="仿宋_GB2312"/>
                <w:sz w:val="28"/>
                <w:szCs w:val="28"/>
              </w:rPr>
              <w:t>社会声誉</w:t>
            </w:r>
          </w:p>
        </w:tc>
      </w:tr>
    </w:tbl>
    <w:p>
      <w:pPr>
        <w:overflowPunct w:val="0"/>
        <w:snapToGrid w:val="0"/>
        <w:spacing w:before="190" w:beforeLines="50" w:line="460" w:lineRule="exact"/>
        <w:ind w:left="840" w:hanging="840" w:hangingChars="300"/>
        <w:rPr>
          <w:rFonts w:ascii="Times New Roman" w:hAnsi="Times New Roman" w:eastAsia="仿宋_GB2312" w:cs="Times New Roman"/>
          <w:sz w:val="28"/>
        </w:rPr>
      </w:pPr>
      <w:r>
        <w:rPr>
          <w:rFonts w:hint="eastAsia" w:ascii="Times New Roman" w:hAnsi="Times New Roman" w:eastAsia="仿宋_GB2312" w:cs="Times New Roman"/>
          <w:sz w:val="28"/>
        </w:rPr>
        <w:t>说明：按专业学位类别（领域）分别设置</w:t>
      </w:r>
      <w:r>
        <w:rPr>
          <w:rFonts w:ascii="Times New Roman" w:hAnsi="Times New Roman" w:eastAsia="仿宋_GB2312" w:cs="Times New Roman"/>
          <w:sz w:val="28"/>
        </w:rPr>
        <w:t>36</w:t>
      </w:r>
      <w:r>
        <w:rPr>
          <w:rFonts w:hint="eastAsia" w:ascii="Times New Roman" w:hAnsi="Times New Roman" w:eastAsia="仿宋_GB2312" w:cs="Times New Roman"/>
          <w:sz w:val="28"/>
        </w:rPr>
        <w:t>套指标体系，各类别（领域）按专业学位特点分别设置</w:t>
      </w:r>
      <w:r>
        <w:rPr>
          <w:rFonts w:ascii="Times New Roman" w:hAnsi="Times New Roman" w:eastAsia="仿宋_GB2312" w:cs="Times New Roman"/>
          <w:sz w:val="28"/>
        </w:rPr>
        <w:t>15-16</w:t>
      </w:r>
      <w:r>
        <w:rPr>
          <w:rFonts w:hint="eastAsia" w:ascii="Times New Roman" w:hAnsi="Times New Roman" w:eastAsia="仿宋_GB2312" w:cs="Times New Roman"/>
          <w:sz w:val="28"/>
        </w:rPr>
        <w:t>个三级指标。各专业学位类别三级指标的具体表述和观测点有所不同。</w:t>
      </w:r>
    </w:p>
    <w:sectPr>
      <w:headerReference r:id="rId3" w:type="even"/>
      <w:pgSz w:w="11906" w:h="16838"/>
      <w:pgMar w:top="1247" w:right="1418" w:bottom="1247" w:left="1418" w:header="851" w:footer="992" w:gutter="0"/>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方正仿宋简体">
    <w:altName w:val="宋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12329795" cy="1120775"/>
              <wp:effectExtent l="0" t="4029075" r="0" b="4070350"/>
              <wp:wrapNone/>
              <wp:docPr id="3" name="文本框 3"/>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2329795" cy="1120775"/>
                      </a:xfrm>
                      <a:prstGeom prst="rect">
                        <a:avLst/>
                      </a:prstGeom>
                    </wps:spPr>
                    <wps:txbx>
                      <w:txbxContent>
                        <w:p>
                          <w:pPr>
                            <w:pStyle w:val="7"/>
                            <w:jc w:val="center"/>
                          </w:pPr>
                          <w:r>
                            <w:rPr>
                              <w:rFonts w:hint="eastAsia" w:ascii="黑体" w:hAnsi="黑体" w:eastAsia="黑体"/>
                              <w:color w:val="C0C0C0"/>
                              <w:sz w:val="2"/>
                              <w:szCs w:val="2"/>
                              <w14:textFill>
                                <w14:solidFill>
                                  <w14:srgbClr w14:val="C0C0C0">
                                    <w14:alpha w14:val="50000"/>
                                  </w14:srgbClr>
                                </w14:solidFill>
                              </w14:textFill>
                            </w:rPr>
                            <w:t>内部资料，请勿上网传播</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height:88.25pt;width:970.85pt;mso-position-horizontal:center;mso-position-horizontal-relative:margin;mso-position-vertical:center;mso-position-vertical-relative:margin;rotation:-2949120f;z-index:-251655168;mso-width-relative:page;mso-height-relative:page;" filled="f" stroked="f" coordsize="21600,21600" o:allowincell="f" o:gfxdata="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EDPz9UAAAAGAQAADwAAAAAAAAABACAAAAAiAAAAZHJzL2Rvd25yZXYueG1sUEsBAhQAFAAA&#10;AAgAh07iQCp+/y0rAgAAOgQAAA4AAAAAAAAAAQAgAAAAJAEAAGRycy9lMm9Eb2MueG1sUEsFBgAA&#10;AAAGAAYAWQEAAMEFAAAAAA==&#10;" adj="10800">
              <v:fill on="f" focussize="0,0"/>
              <v:stroke on="f"/>
              <v:imagedata o:title=""/>
              <o:lock v:ext="edit" text="t" aspectratio="f"/>
              <v:textbox style="mso-fit-shape-to-text:t;">
                <w:txbxContent>
                  <w:p>
                    <w:pPr>
                      <w:pStyle w:val="7"/>
                      <w:jc w:val="center"/>
                    </w:pPr>
                    <w:r>
                      <w:rPr>
                        <w:rFonts w:hint="eastAsia" w:ascii="黑体" w:hAnsi="黑体" w:eastAsia="黑体"/>
                        <w:color w:val="C0C0C0"/>
                        <w:sz w:val="2"/>
                        <w:szCs w:val="2"/>
                        <w14:textFill>
                          <w14:solidFill>
                            <w14:srgbClr w14:val="C0C0C0">
                              <w14:alpha w14:val="50000"/>
                            </w14:srgbClr>
                          </w14:solidFill>
                        </w14:textFill>
                      </w:rPr>
                      <w:t>内部资料，请勿上网传播</w:t>
                    </w:r>
                  </w:p>
                </w:txbxContent>
              </v:textbox>
            </v:shape>
          </w:pict>
        </mc:Fallback>
      </mc:AlternateContent>
    </w:r>
    <w: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8967470" cy="4483735"/>
              <wp:effectExtent l="0" t="1704975" r="0" b="1783715"/>
              <wp:wrapNone/>
              <wp:docPr id="2" name="文本框 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967470" cy="4483735"/>
                      </a:xfrm>
                      <a:prstGeom prst="rect">
                        <a:avLst/>
                      </a:prstGeom>
                    </wps:spPr>
                    <wps:txbx>
                      <w:txbxContent>
                        <w:p>
                          <w:pPr>
                            <w:pStyle w:val="7"/>
                            <w:jc w:val="center"/>
                          </w:pPr>
                          <w:r>
                            <w:rPr>
                              <w:rFonts w:ascii="仿宋_GB2312"/>
                              <w:color w:val="BFBFBF" w:themeColor="background1" w:themeShade="BF"/>
                              <w:sz w:val="2"/>
                              <w:szCs w:val="2"/>
                              <w14:textFill>
                                <w14:solidFill>
                                  <w14:schemeClr w14:val="bg1">
                                    <w14:alpha w14:val="50000"/>
                                    <w14:lumMod w14:val="75000"/>
                                  </w14:schemeClr>
                                </w14:solidFill>
                              </w14:textFill>
                            </w:rPr>
                            <w:t>保密</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height:353.05pt;width:706.1pt;mso-position-horizontal:center;mso-position-horizontal-relative:margin;mso-position-vertical:center;mso-position-vertical-relative:margin;rotation:-2949120f;z-index:-251656192;mso-width-relative:page;mso-height-relative:page;" filled="f" stroked="f" coordsize="21600,21600" o:allowincell="f" o:gfxdata="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pF/ENUAAAAGAQAADwAAAAAAAAABACAAAAAiAAAAZHJzL2Rvd25yZXYueG1sUEsBAhQAFAAA&#10;AAgAh07iQEsmNawrAgAAOQQAAA4AAAAAAAAAAQAgAAAAJAEAAGRycy9lMm9Eb2MueG1sUEsFBgAA&#10;AAAGAAYAWQEAAMEFAAAAAA==&#10;" adj="10800">
              <v:fill on="f" focussize="0,0"/>
              <v:stroke on="f"/>
              <v:imagedata o:title=""/>
              <o:lock v:ext="edit" text="t" aspectratio="f"/>
              <v:textbox style="mso-fit-shape-to-text:t;">
                <w:txbxContent>
                  <w:p>
                    <w:pPr>
                      <w:pStyle w:val="7"/>
                      <w:jc w:val="center"/>
                    </w:pPr>
                    <w:r>
                      <w:rPr>
                        <w:rFonts w:ascii="仿宋_GB2312"/>
                        <w:color w:val="BFBFBF" w:themeColor="background1" w:themeShade="BF"/>
                        <w:sz w:val="2"/>
                        <w:szCs w:val="2"/>
                        <w14:textFill>
                          <w14:solidFill>
                            <w14:schemeClr w14:val="bg1">
                              <w14:alpha w14:val="50000"/>
                              <w14:lumMod w14:val="75000"/>
                            </w14:schemeClr>
                          </w14:solidFill>
                        </w14:textFill>
                      </w:rPr>
                      <w:t>保密</w:t>
                    </w:r>
                  </w:p>
                </w:txbxContent>
              </v:textbox>
            </v:shape>
          </w:pict>
        </mc:Fallback>
      </mc:AlternateContent>
    </w:r>
    <w: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12329795" cy="1120775"/>
              <wp:effectExtent l="0" t="4029075" r="0" b="4070350"/>
              <wp:wrapNone/>
              <wp:docPr id="1" name="文本框 1"/>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2329795" cy="1120775"/>
                      </a:xfrm>
                      <a:prstGeom prst="rect">
                        <a:avLst/>
                      </a:prstGeom>
                    </wps:spPr>
                    <wps:txbx>
                      <w:txbxContent>
                        <w:p>
                          <w:pPr>
                            <w:pStyle w:val="7"/>
                            <w:jc w:val="center"/>
                          </w:pPr>
                          <w:r>
                            <w:rPr>
                              <w:rFonts w:hint="eastAsia" w:ascii="黑体" w:hAnsi="黑体" w:eastAsia="黑体"/>
                              <w:color w:val="000000"/>
                              <w:sz w:val="2"/>
                              <w:szCs w:val="2"/>
                              <w14:textFill>
                                <w14:solidFill>
                                  <w14:srgbClr w14:val="000000">
                                    <w14:alpha w14:val="50000"/>
                                  </w14:srgbClr>
                                </w14:solidFill>
                              </w14:textFill>
                            </w:rPr>
                            <w:t>内部资料，请勿上网传播</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height:88.25pt;width:970.85pt;mso-position-horizontal:center;mso-position-horizontal-relative:margin;mso-position-vertical:center;mso-position-vertical-relative:margin;rotation:-2949120f;z-index:-251657216;mso-width-relative:page;mso-height-relative:page;" filled="f" stroked="f" coordsize="21600,21600" o:allowincell="f" o:gfxdata="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EDPz9UAAAAGAQAADwAAAAAAAAABACAAAAAiAAAAZHJzL2Rvd25yZXYueG1sUEsBAhQAFAAA&#10;AAgAh07iQH/txhUrAgAAOgQAAA4AAAAAAAAAAQAgAAAAJAEAAGRycy9lMm9Eb2MueG1sUEsFBgAA&#10;AAAGAAYAWQEAAMEFAAAAAA==&#10;" adj="10800">
              <v:fill on="f" focussize="0,0"/>
              <v:stroke on="f"/>
              <v:imagedata o:title=""/>
              <o:lock v:ext="edit" text="t" aspectratio="f"/>
              <v:textbox style="mso-fit-shape-to-text:t;">
                <w:txbxContent>
                  <w:p>
                    <w:pPr>
                      <w:pStyle w:val="7"/>
                      <w:jc w:val="center"/>
                    </w:pPr>
                    <w:r>
                      <w:rPr>
                        <w:rFonts w:hint="eastAsia" w:ascii="黑体" w:hAnsi="黑体" w:eastAsia="黑体"/>
                        <w:color w:val="000000"/>
                        <w:sz w:val="2"/>
                        <w:szCs w:val="2"/>
                        <w14:textFill>
                          <w14:solidFill>
                            <w14:srgbClr w14:val="000000">
                              <w14:alpha w14:val="50000"/>
                            </w14:srgbClr>
                          </w14:solidFill>
                        </w14:textFill>
                      </w:rPr>
                      <w:t>内部资料，请勿上网传播</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7C1"/>
    <w:rsid w:val="00000A7A"/>
    <w:rsid w:val="00001B43"/>
    <w:rsid w:val="0000236E"/>
    <w:rsid w:val="00002E6B"/>
    <w:rsid w:val="000121B0"/>
    <w:rsid w:val="00012B89"/>
    <w:rsid w:val="00012BA0"/>
    <w:rsid w:val="00013A45"/>
    <w:rsid w:val="00013A9A"/>
    <w:rsid w:val="0001507B"/>
    <w:rsid w:val="00015DB9"/>
    <w:rsid w:val="00017C5F"/>
    <w:rsid w:val="000252D9"/>
    <w:rsid w:val="00031C21"/>
    <w:rsid w:val="00034FB2"/>
    <w:rsid w:val="0003755C"/>
    <w:rsid w:val="00037ADE"/>
    <w:rsid w:val="00041DEA"/>
    <w:rsid w:val="00043D73"/>
    <w:rsid w:val="00047FE5"/>
    <w:rsid w:val="00051FD7"/>
    <w:rsid w:val="00054835"/>
    <w:rsid w:val="00054960"/>
    <w:rsid w:val="00056EBE"/>
    <w:rsid w:val="000652DF"/>
    <w:rsid w:val="000652F6"/>
    <w:rsid w:val="000710C4"/>
    <w:rsid w:val="00073B26"/>
    <w:rsid w:val="00075CC6"/>
    <w:rsid w:val="00081D16"/>
    <w:rsid w:val="0008344F"/>
    <w:rsid w:val="00083FDF"/>
    <w:rsid w:val="00085079"/>
    <w:rsid w:val="000904DC"/>
    <w:rsid w:val="00092F79"/>
    <w:rsid w:val="000931C8"/>
    <w:rsid w:val="00094527"/>
    <w:rsid w:val="0009480D"/>
    <w:rsid w:val="0009750C"/>
    <w:rsid w:val="000A0695"/>
    <w:rsid w:val="000A1D0C"/>
    <w:rsid w:val="000A3D6B"/>
    <w:rsid w:val="000A7740"/>
    <w:rsid w:val="000B0139"/>
    <w:rsid w:val="000B17E3"/>
    <w:rsid w:val="000B3121"/>
    <w:rsid w:val="000B3F01"/>
    <w:rsid w:val="000B6685"/>
    <w:rsid w:val="000B7267"/>
    <w:rsid w:val="000B7A48"/>
    <w:rsid w:val="000C06A6"/>
    <w:rsid w:val="000C0B20"/>
    <w:rsid w:val="000C2F11"/>
    <w:rsid w:val="000C576E"/>
    <w:rsid w:val="000C5B03"/>
    <w:rsid w:val="000C7779"/>
    <w:rsid w:val="000D0296"/>
    <w:rsid w:val="000D091C"/>
    <w:rsid w:val="000D1A20"/>
    <w:rsid w:val="000D5B9C"/>
    <w:rsid w:val="000E09B3"/>
    <w:rsid w:val="000E1C47"/>
    <w:rsid w:val="000E1DA3"/>
    <w:rsid w:val="000E31A8"/>
    <w:rsid w:val="000E5F55"/>
    <w:rsid w:val="000F12B3"/>
    <w:rsid w:val="000F2CAF"/>
    <w:rsid w:val="000F5A71"/>
    <w:rsid w:val="000F5E7A"/>
    <w:rsid w:val="000F71DF"/>
    <w:rsid w:val="001028EC"/>
    <w:rsid w:val="001033C2"/>
    <w:rsid w:val="001038E0"/>
    <w:rsid w:val="0010604E"/>
    <w:rsid w:val="00110B93"/>
    <w:rsid w:val="00114BA5"/>
    <w:rsid w:val="00120BAF"/>
    <w:rsid w:val="0012713C"/>
    <w:rsid w:val="00130C27"/>
    <w:rsid w:val="001331D5"/>
    <w:rsid w:val="00134F60"/>
    <w:rsid w:val="0013601E"/>
    <w:rsid w:val="00136892"/>
    <w:rsid w:val="00136B77"/>
    <w:rsid w:val="00136E2E"/>
    <w:rsid w:val="00142288"/>
    <w:rsid w:val="00143EF9"/>
    <w:rsid w:val="00144AA9"/>
    <w:rsid w:val="0014546C"/>
    <w:rsid w:val="00151129"/>
    <w:rsid w:val="0015200A"/>
    <w:rsid w:val="00153B60"/>
    <w:rsid w:val="00155BD0"/>
    <w:rsid w:val="001578DA"/>
    <w:rsid w:val="00161E06"/>
    <w:rsid w:val="00163D97"/>
    <w:rsid w:val="00163E36"/>
    <w:rsid w:val="0016553E"/>
    <w:rsid w:val="00165867"/>
    <w:rsid w:val="00165DEE"/>
    <w:rsid w:val="00165F18"/>
    <w:rsid w:val="00165F79"/>
    <w:rsid w:val="001666E5"/>
    <w:rsid w:val="00166BFE"/>
    <w:rsid w:val="001670DD"/>
    <w:rsid w:val="00171167"/>
    <w:rsid w:val="00173DE3"/>
    <w:rsid w:val="00176ED4"/>
    <w:rsid w:val="00180EB2"/>
    <w:rsid w:val="00183AA0"/>
    <w:rsid w:val="00183AAF"/>
    <w:rsid w:val="00184211"/>
    <w:rsid w:val="0019064D"/>
    <w:rsid w:val="00191834"/>
    <w:rsid w:val="00191AAD"/>
    <w:rsid w:val="001934FE"/>
    <w:rsid w:val="00194D88"/>
    <w:rsid w:val="00195ABD"/>
    <w:rsid w:val="001A41E1"/>
    <w:rsid w:val="001A4B38"/>
    <w:rsid w:val="001A4E41"/>
    <w:rsid w:val="001A6458"/>
    <w:rsid w:val="001A71BC"/>
    <w:rsid w:val="001B0953"/>
    <w:rsid w:val="001B3785"/>
    <w:rsid w:val="001B43AF"/>
    <w:rsid w:val="001B4FD2"/>
    <w:rsid w:val="001B58EA"/>
    <w:rsid w:val="001B5DE6"/>
    <w:rsid w:val="001C1566"/>
    <w:rsid w:val="001C267A"/>
    <w:rsid w:val="001C29E4"/>
    <w:rsid w:val="001C2A0A"/>
    <w:rsid w:val="001C4B43"/>
    <w:rsid w:val="001C5BA7"/>
    <w:rsid w:val="001C76F7"/>
    <w:rsid w:val="001D21A7"/>
    <w:rsid w:val="001D5091"/>
    <w:rsid w:val="001D621C"/>
    <w:rsid w:val="001D7905"/>
    <w:rsid w:val="001E1DB1"/>
    <w:rsid w:val="001F76D0"/>
    <w:rsid w:val="002010C5"/>
    <w:rsid w:val="00201B59"/>
    <w:rsid w:val="002023C6"/>
    <w:rsid w:val="002047B9"/>
    <w:rsid w:val="0020695A"/>
    <w:rsid w:val="002075E3"/>
    <w:rsid w:val="00207ACB"/>
    <w:rsid w:val="00211550"/>
    <w:rsid w:val="002158E4"/>
    <w:rsid w:val="00216090"/>
    <w:rsid w:val="0021624C"/>
    <w:rsid w:val="002162B0"/>
    <w:rsid w:val="00217930"/>
    <w:rsid w:val="00221F85"/>
    <w:rsid w:val="00222C46"/>
    <w:rsid w:val="00225943"/>
    <w:rsid w:val="00225AF2"/>
    <w:rsid w:val="002310B6"/>
    <w:rsid w:val="002325DE"/>
    <w:rsid w:val="00233000"/>
    <w:rsid w:val="00234D73"/>
    <w:rsid w:val="0023767D"/>
    <w:rsid w:val="00237718"/>
    <w:rsid w:val="00237B3A"/>
    <w:rsid w:val="00240837"/>
    <w:rsid w:val="00241F84"/>
    <w:rsid w:val="002439F6"/>
    <w:rsid w:val="0024515F"/>
    <w:rsid w:val="00246CF2"/>
    <w:rsid w:val="00251711"/>
    <w:rsid w:val="002530F8"/>
    <w:rsid w:val="00260A24"/>
    <w:rsid w:val="00260A65"/>
    <w:rsid w:val="00262166"/>
    <w:rsid w:val="0026410F"/>
    <w:rsid w:val="00267CDD"/>
    <w:rsid w:val="00270473"/>
    <w:rsid w:val="0027246A"/>
    <w:rsid w:val="00273612"/>
    <w:rsid w:val="0027621B"/>
    <w:rsid w:val="0028232C"/>
    <w:rsid w:val="00287D71"/>
    <w:rsid w:val="002908FF"/>
    <w:rsid w:val="00290C45"/>
    <w:rsid w:val="00290FD5"/>
    <w:rsid w:val="00294ABF"/>
    <w:rsid w:val="00297AFB"/>
    <w:rsid w:val="002A2313"/>
    <w:rsid w:val="002A7531"/>
    <w:rsid w:val="002A7977"/>
    <w:rsid w:val="002B4842"/>
    <w:rsid w:val="002B5BF0"/>
    <w:rsid w:val="002B7574"/>
    <w:rsid w:val="002C0196"/>
    <w:rsid w:val="002C231C"/>
    <w:rsid w:val="002C31AD"/>
    <w:rsid w:val="002C43B6"/>
    <w:rsid w:val="002C4970"/>
    <w:rsid w:val="002C662F"/>
    <w:rsid w:val="002C77E8"/>
    <w:rsid w:val="002D0637"/>
    <w:rsid w:val="002D0FBE"/>
    <w:rsid w:val="002D30C9"/>
    <w:rsid w:val="002D3BE2"/>
    <w:rsid w:val="002D60BD"/>
    <w:rsid w:val="002D69B5"/>
    <w:rsid w:val="002E02CB"/>
    <w:rsid w:val="002E1B62"/>
    <w:rsid w:val="002E731D"/>
    <w:rsid w:val="002F1E8B"/>
    <w:rsid w:val="002F6CBF"/>
    <w:rsid w:val="00300A6E"/>
    <w:rsid w:val="00302D18"/>
    <w:rsid w:val="00303E52"/>
    <w:rsid w:val="00305C72"/>
    <w:rsid w:val="00307FDB"/>
    <w:rsid w:val="00312BF5"/>
    <w:rsid w:val="0031329F"/>
    <w:rsid w:val="00314E94"/>
    <w:rsid w:val="00315A75"/>
    <w:rsid w:val="00315C3F"/>
    <w:rsid w:val="00317516"/>
    <w:rsid w:val="00320334"/>
    <w:rsid w:val="00323681"/>
    <w:rsid w:val="00323A53"/>
    <w:rsid w:val="00326AC1"/>
    <w:rsid w:val="00337734"/>
    <w:rsid w:val="0033790B"/>
    <w:rsid w:val="00341B6D"/>
    <w:rsid w:val="00343CA0"/>
    <w:rsid w:val="0034478F"/>
    <w:rsid w:val="003466EB"/>
    <w:rsid w:val="00347B36"/>
    <w:rsid w:val="00350BCA"/>
    <w:rsid w:val="0035283D"/>
    <w:rsid w:val="00353913"/>
    <w:rsid w:val="00355797"/>
    <w:rsid w:val="003601AA"/>
    <w:rsid w:val="0036073C"/>
    <w:rsid w:val="0036346B"/>
    <w:rsid w:val="00370F15"/>
    <w:rsid w:val="00371C5C"/>
    <w:rsid w:val="003730F1"/>
    <w:rsid w:val="00374475"/>
    <w:rsid w:val="00380491"/>
    <w:rsid w:val="00381DB0"/>
    <w:rsid w:val="00381F2F"/>
    <w:rsid w:val="00383204"/>
    <w:rsid w:val="00384D60"/>
    <w:rsid w:val="00385902"/>
    <w:rsid w:val="00390201"/>
    <w:rsid w:val="003921BC"/>
    <w:rsid w:val="00394FC4"/>
    <w:rsid w:val="00396312"/>
    <w:rsid w:val="0039658E"/>
    <w:rsid w:val="003A1AAA"/>
    <w:rsid w:val="003A23B4"/>
    <w:rsid w:val="003A2C22"/>
    <w:rsid w:val="003A6B8C"/>
    <w:rsid w:val="003A6F31"/>
    <w:rsid w:val="003A7FD8"/>
    <w:rsid w:val="003B7061"/>
    <w:rsid w:val="003C0942"/>
    <w:rsid w:val="003C0AB2"/>
    <w:rsid w:val="003C2011"/>
    <w:rsid w:val="003C21E6"/>
    <w:rsid w:val="003C460D"/>
    <w:rsid w:val="003C59F7"/>
    <w:rsid w:val="003D055D"/>
    <w:rsid w:val="003D4983"/>
    <w:rsid w:val="003E16CE"/>
    <w:rsid w:val="003E1C17"/>
    <w:rsid w:val="003E73B4"/>
    <w:rsid w:val="003F2756"/>
    <w:rsid w:val="003F6669"/>
    <w:rsid w:val="00402323"/>
    <w:rsid w:val="00402AC5"/>
    <w:rsid w:val="00403B89"/>
    <w:rsid w:val="00404AF9"/>
    <w:rsid w:val="00404EEA"/>
    <w:rsid w:val="00405205"/>
    <w:rsid w:val="004072A8"/>
    <w:rsid w:val="0041093E"/>
    <w:rsid w:val="00410A9F"/>
    <w:rsid w:val="00410C5F"/>
    <w:rsid w:val="00420573"/>
    <w:rsid w:val="00420C60"/>
    <w:rsid w:val="0042173E"/>
    <w:rsid w:val="0042252A"/>
    <w:rsid w:val="00422741"/>
    <w:rsid w:val="004241DF"/>
    <w:rsid w:val="0042457F"/>
    <w:rsid w:val="004259B5"/>
    <w:rsid w:val="00425B48"/>
    <w:rsid w:val="00432197"/>
    <w:rsid w:val="00432DF6"/>
    <w:rsid w:val="00433175"/>
    <w:rsid w:val="0043572E"/>
    <w:rsid w:val="00440887"/>
    <w:rsid w:val="00441354"/>
    <w:rsid w:val="004415D5"/>
    <w:rsid w:val="0044331B"/>
    <w:rsid w:val="004446A8"/>
    <w:rsid w:val="00445BD3"/>
    <w:rsid w:val="004526FE"/>
    <w:rsid w:val="00452A37"/>
    <w:rsid w:val="00455CE3"/>
    <w:rsid w:val="004630A8"/>
    <w:rsid w:val="00466536"/>
    <w:rsid w:val="004667E0"/>
    <w:rsid w:val="00466988"/>
    <w:rsid w:val="00471462"/>
    <w:rsid w:val="00472679"/>
    <w:rsid w:val="00473A0C"/>
    <w:rsid w:val="004752C4"/>
    <w:rsid w:val="00475D34"/>
    <w:rsid w:val="0048089F"/>
    <w:rsid w:val="00481A37"/>
    <w:rsid w:val="00481C5B"/>
    <w:rsid w:val="004822DD"/>
    <w:rsid w:val="004837A2"/>
    <w:rsid w:val="004874A5"/>
    <w:rsid w:val="00487B81"/>
    <w:rsid w:val="004908E9"/>
    <w:rsid w:val="004943C7"/>
    <w:rsid w:val="00494770"/>
    <w:rsid w:val="004952B6"/>
    <w:rsid w:val="0049629F"/>
    <w:rsid w:val="00497AA9"/>
    <w:rsid w:val="004A21B8"/>
    <w:rsid w:val="004A46D7"/>
    <w:rsid w:val="004A6870"/>
    <w:rsid w:val="004A6AD7"/>
    <w:rsid w:val="004A6B9C"/>
    <w:rsid w:val="004A7152"/>
    <w:rsid w:val="004B0D9E"/>
    <w:rsid w:val="004B1194"/>
    <w:rsid w:val="004B5B2C"/>
    <w:rsid w:val="004C10E9"/>
    <w:rsid w:val="004C1193"/>
    <w:rsid w:val="004C26BC"/>
    <w:rsid w:val="004C3C63"/>
    <w:rsid w:val="004C41E4"/>
    <w:rsid w:val="004D667C"/>
    <w:rsid w:val="004D721F"/>
    <w:rsid w:val="004D7959"/>
    <w:rsid w:val="004E133C"/>
    <w:rsid w:val="004E302C"/>
    <w:rsid w:val="004E4BC3"/>
    <w:rsid w:val="004E5A20"/>
    <w:rsid w:val="004E5FEC"/>
    <w:rsid w:val="004E63A5"/>
    <w:rsid w:val="004E72D3"/>
    <w:rsid w:val="004F1BE9"/>
    <w:rsid w:val="004F3B25"/>
    <w:rsid w:val="004F5903"/>
    <w:rsid w:val="004F5A14"/>
    <w:rsid w:val="0050062E"/>
    <w:rsid w:val="0050151B"/>
    <w:rsid w:val="00501BBB"/>
    <w:rsid w:val="00504050"/>
    <w:rsid w:val="00505A1A"/>
    <w:rsid w:val="0050731E"/>
    <w:rsid w:val="0051098A"/>
    <w:rsid w:val="00511D1D"/>
    <w:rsid w:val="0051333B"/>
    <w:rsid w:val="0051421C"/>
    <w:rsid w:val="005164CA"/>
    <w:rsid w:val="0051725C"/>
    <w:rsid w:val="00522962"/>
    <w:rsid w:val="00527AC6"/>
    <w:rsid w:val="00530284"/>
    <w:rsid w:val="00530677"/>
    <w:rsid w:val="005308D7"/>
    <w:rsid w:val="00531722"/>
    <w:rsid w:val="00531E26"/>
    <w:rsid w:val="00532C4B"/>
    <w:rsid w:val="00535BA2"/>
    <w:rsid w:val="00535EE1"/>
    <w:rsid w:val="00537BDF"/>
    <w:rsid w:val="00541E67"/>
    <w:rsid w:val="00541FB8"/>
    <w:rsid w:val="005445A4"/>
    <w:rsid w:val="00544B2D"/>
    <w:rsid w:val="00544C64"/>
    <w:rsid w:val="005469E3"/>
    <w:rsid w:val="005473BC"/>
    <w:rsid w:val="005509D7"/>
    <w:rsid w:val="00552B86"/>
    <w:rsid w:val="00554E4F"/>
    <w:rsid w:val="00555234"/>
    <w:rsid w:val="0056139C"/>
    <w:rsid w:val="005628AB"/>
    <w:rsid w:val="0056366C"/>
    <w:rsid w:val="0056372D"/>
    <w:rsid w:val="00565A00"/>
    <w:rsid w:val="005678F5"/>
    <w:rsid w:val="00570C9E"/>
    <w:rsid w:val="00573238"/>
    <w:rsid w:val="00575B97"/>
    <w:rsid w:val="00575FE0"/>
    <w:rsid w:val="0058111A"/>
    <w:rsid w:val="00581FC9"/>
    <w:rsid w:val="00583085"/>
    <w:rsid w:val="00583C7A"/>
    <w:rsid w:val="00584028"/>
    <w:rsid w:val="0058667F"/>
    <w:rsid w:val="00590B36"/>
    <w:rsid w:val="005931B6"/>
    <w:rsid w:val="0059539A"/>
    <w:rsid w:val="00595B53"/>
    <w:rsid w:val="00596020"/>
    <w:rsid w:val="005966E9"/>
    <w:rsid w:val="0059799E"/>
    <w:rsid w:val="00597BB4"/>
    <w:rsid w:val="005A3297"/>
    <w:rsid w:val="005A32AF"/>
    <w:rsid w:val="005A5A42"/>
    <w:rsid w:val="005A7412"/>
    <w:rsid w:val="005B1525"/>
    <w:rsid w:val="005B5AE3"/>
    <w:rsid w:val="005B5BC5"/>
    <w:rsid w:val="005C1E22"/>
    <w:rsid w:val="005C34D9"/>
    <w:rsid w:val="005C64FA"/>
    <w:rsid w:val="005C7DAB"/>
    <w:rsid w:val="005D3987"/>
    <w:rsid w:val="005D4474"/>
    <w:rsid w:val="005E221B"/>
    <w:rsid w:val="005E2D81"/>
    <w:rsid w:val="005E4607"/>
    <w:rsid w:val="005E5ADF"/>
    <w:rsid w:val="005E5F71"/>
    <w:rsid w:val="005E7C5C"/>
    <w:rsid w:val="005F5EF6"/>
    <w:rsid w:val="005F6F7F"/>
    <w:rsid w:val="005F797D"/>
    <w:rsid w:val="005F7BD5"/>
    <w:rsid w:val="00600FA2"/>
    <w:rsid w:val="006014F2"/>
    <w:rsid w:val="006037F7"/>
    <w:rsid w:val="00605299"/>
    <w:rsid w:val="00607BF7"/>
    <w:rsid w:val="00624231"/>
    <w:rsid w:val="006257D2"/>
    <w:rsid w:val="00631722"/>
    <w:rsid w:val="00631C7E"/>
    <w:rsid w:val="00634740"/>
    <w:rsid w:val="006350B7"/>
    <w:rsid w:val="006353C2"/>
    <w:rsid w:val="006372D3"/>
    <w:rsid w:val="00646972"/>
    <w:rsid w:val="00647855"/>
    <w:rsid w:val="006479E5"/>
    <w:rsid w:val="006517E4"/>
    <w:rsid w:val="00656A14"/>
    <w:rsid w:val="0065710B"/>
    <w:rsid w:val="0065715E"/>
    <w:rsid w:val="006629C4"/>
    <w:rsid w:val="006643CF"/>
    <w:rsid w:val="00664421"/>
    <w:rsid w:val="006668AB"/>
    <w:rsid w:val="006670E2"/>
    <w:rsid w:val="00671136"/>
    <w:rsid w:val="006735D6"/>
    <w:rsid w:val="00673762"/>
    <w:rsid w:val="00673D0C"/>
    <w:rsid w:val="00674EF1"/>
    <w:rsid w:val="00676A21"/>
    <w:rsid w:val="0067785C"/>
    <w:rsid w:val="00677A98"/>
    <w:rsid w:val="00680E00"/>
    <w:rsid w:val="006811AA"/>
    <w:rsid w:val="006818C4"/>
    <w:rsid w:val="006834FB"/>
    <w:rsid w:val="006839D3"/>
    <w:rsid w:val="00685C9A"/>
    <w:rsid w:val="006921DF"/>
    <w:rsid w:val="0069467A"/>
    <w:rsid w:val="006A0C22"/>
    <w:rsid w:val="006A4CC2"/>
    <w:rsid w:val="006A5FC7"/>
    <w:rsid w:val="006A669B"/>
    <w:rsid w:val="006A6BED"/>
    <w:rsid w:val="006B1D17"/>
    <w:rsid w:val="006B74CA"/>
    <w:rsid w:val="006C253D"/>
    <w:rsid w:val="006C30A4"/>
    <w:rsid w:val="006C380F"/>
    <w:rsid w:val="006C3C39"/>
    <w:rsid w:val="006C5100"/>
    <w:rsid w:val="006D2791"/>
    <w:rsid w:val="006D3F05"/>
    <w:rsid w:val="006D603E"/>
    <w:rsid w:val="006D6182"/>
    <w:rsid w:val="006E1FBC"/>
    <w:rsid w:val="006E30C3"/>
    <w:rsid w:val="006E3905"/>
    <w:rsid w:val="006E5C9A"/>
    <w:rsid w:val="006F11D0"/>
    <w:rsid w:val="006F194A"/>
    <w:rsid w:val="006F2F8F"/>
    <w:rsid w:val="006F4333"/>
    <w:rsid w:val="006F4D93"/>
    <w:rsid w:val="006F534C"/>
    <w:rsid w:val="006F5C14"/>
    <w:rsid w:val="00701748"/>
    <w:rsid w:val="007022BF"/>
    <w:rsid w:val="00702530"/>
    <w:rsid w:val="007030E7"/>
    <w:rsid w:val="00711201"/>
    <w:rsid w:val="00711472"/>
    <w:rsid w:val="007118D1"/>
    <w:rsid w:val="007123D1"/>
    <w:rsid w:val="0071274F"/>
    <w:rsid w:val="0071434C"/>
    <w:rsid w:val="007144B9"/>
    <w:rsid w:val="00717148"/>
    <w:rsid w:val="00717389"/>
    <w:rsid w:val="007209A8"/>
    <w:rsid w:val="00720FA2"/>
    <w:rsid w:val="00723916"/>
    <w:rsid w:val="007255E0"/>
    <w:rsid w:val="0072681B"/>
    <w:rsid w:val="007274C9"/>
    <w:rsid w:val="00730658"/>
    <w:rsid w:val="0073402F"/>
    <w:rsid w:val="00737FCA"/>
    <w:rsid w:val="007401AF"/>
    <w:rsid w:val="0074270E"/>
    <w:rsid w:val="007443E6"/>
    <w:rsid w:val="00745678"/>
    <w:rsid w:val="0075204F"/>
    <w:rsid w:val="00753C22"/>
    <w:rsid w:val="007561AA"/>
    <w:rsid w:val="00757918"/>
    <w:rsid w:val="00757D17"/>
    <w:rsid w:val="00764DF2"/>
    <w:rsid w:val="007651F9"/>
    <w:rsid w:val="00767520"/>
    <w:rsid w:val="00767844"/>
    <w:rsid w:val="007703AE"/>
    <w:rsid w:val="007727C8"/>
    <w:rsid w:val="00772A85"/>
    <w:rsid w:val="0077340B"/>
    <w:rsid w:val="007743E3"/>
    <w:rsid w:val="00776CF8"/>
    <w:rsid w:val="007830C8"/>
    <w:rsid w:val="00785283"/>
    <w:rsid w:val="007854AC"/>
    <w:rsid w:val="007923CB"/>
    <w:rsid w:val="0079260C"/>
    <w:rsid w:val="00792C8E"/>
    <w:rsid w:val="00796D23"/>
    <w:rsid w:val="007A52E2"/>
    <w:rsid w:val="007B0C0C"/>
    <w:rsid w:val="007B2052"/>
    <w:rsid w:val="007B4E26"/>
    <w:rsid w:val="007B517B"/>
    <w:rsid w:val="007B5DBC"/>
    <w:rsid w:val="007B7129"/>
    <w:rsid w:val="007C0669"/>
    <w:rsid w:val="007C0EE2"/>
    <w:rsid w:val="007C1AE7"/>
    <w:rsid w:val="007C3162"/>
    <w:rsid w:val="007C3EC1"/>
    <w:rsid w:val="007C41FE"/>
    <w:rsid w:val="007C4FE5"/>
    <w:rsid w:val="007D073D"/>
    <w:rsid w:val="007E00E6"/>
    <w:rsid w:val="007E3D51"/>
    <w:rsid w:val="007F250C"/>
    <w:rsid w:val="007F366F"/>
    <w:rsid w:val="007F47B7"/>
    <w:rsid w:val="007F4D36"/>
    <w:rsid w:val="007F7E4B"/>
    <w:rsid w:val="00801070"/>
    <w:rsid w:val="0080123D"/>
    <w:rsid w:val="00801695"/>
    <w:rsid w:val="00802373"/>
    <w:rsid w:val="0080262F"/>
    <w:rsid w:val="00805604"/>
    <w:rsid w:val="0080677F"/>
    <w:rsid w:val="00810052"/>
    <w:rsid w:val="008111F2"/>
    <w:rsid w:val="0081147B"/>
    <w:rsid w:val="00811EE2"/>
    <w:rsid w:val="0081240A"/>
    <w:rsid w:val="00812546"/>
    <w:rsid w:val="00817D6E"/>
    <w:rsid w:val="00822846"/>
    <w:rsid w:val="00823266"/>
    <w:rsid w:val="00825436"/>
    <w:rsid w:val="008256EE"/>
    <w:rsid w:val="00826218"/>
    <w:rsid w:val="00826826"/>
    <w:rsid w:val="0082706E"/>
    <w:rsid w:val="0082712F"/>
    <w:rsid w:val="00830D85"/>
    <w:rsid w:val="008316F1"/>
    <w:rsid w:val="0083470F"/>
    <w:rsid w:val="0084356F"/>
    <w:rsid w:val="00845BC2"/>
    <w:rsid w:val="00845E7A"/>
    <w:rsid w:val="00850F1F"/>
    <w:rsid w:val="00853333"/>
    <w:rsid w:val="00854ADC"/>
    <w:rsid w:val="00861EF3"/>
    <w:rsid w:val="00863763"/>
    <w:rsid w:val="00863FF5"/>
    <w:rsid w:val="008660C1"/>
    <w:rsid w:val="00866C06"/>
    <w:rsid w:val="00870A23"/>
    <w:rsid w:val="0087104B"/>
    <w:rsid w:val="00876FFD"/>
    <w:rsid w:val="00877032"/>
    <w:rsid w:val="008828E1"/>
    <w:rsid w:val="008840F6"/>
    <w:rsid w:val="00884553"/>
    <w:rsid w:val="00885A96"/>
    <w:rsid w:val="00892AC0"/>
    <w:rsid w:val="0089456F"/>
    <w:rsid w:val="008945B4"/>
    <w:rsid w:val="008A49C3"/>
    <w:rsid w:val="008A49D9"/>
    <w:rsid w:val="008A6538"/>
    <w:rsid w:val="008A7637"/>
    <w:rsid w:val="008B05E7"/>
    <w:rsid w:val="008B4161"/>
    <w:rsid w:val="008B58BF"/>
    <w:rsid w:val="008B6A72"/>
    <w:rsid w:val="008C4CDF"/>
    <w:rsid w:val="008C5252"/>
    <w:rsid w:val="008C606D"/>
    <w:rsid w:val="008D101E"/>
    <w:rsid w:val="008D1034"/>
    <w:rsid w:val="008D2BD0"/>
    <w:rsid w:val="008E0474"/>
    <w:rsid w:val="008E0497"/>
    <w:rsid w:val="008E1416"/>
    <w:rsid w:val="008E36F8"/>
    <w:rsid w:val="008E45BA"/>
    <w:rsid w:val="008E72BF"/>
    <w:rsid w:val="008F2D6A"/>
    <w:rsid w:val="008F38D6"/>
    <w:rsid w:val="008F3946"/>
    <w:rsid w:val="008F3949"/>
    <w:rsid w:val="008F5C4B"/>
    <w:rsid w:val="008F6498"/>
    <w:rsid w:val="008F6F17"/>
    <w:rsid w:val="009005A6"/>
    <w:rsid w:val="00900694"/>
    <w:rsid w:val="00901059"/>
    <w:rsid w:val="00903C29"/>
    <w:rsid w:val="00913205"/>
    <w:rsid w:val="0092008A"/>
    <w:rsid w:val="00922D15"/>
    <w:rsid w:val="009242C1"/>
    <w:rsid w:val="009263AD"/>
    <w:rsid w:val="0093070D"/>
    <w:rsid w:val="009308EA"/>
    <w:rsid w:val="0093146A"/>
    <w:rsid w:val="009316CB"/>
    <w:rsid w:val="00934F2E"/>
    <w:rsid w:val="00937598"/>
    <w:rsid w:val="00940C67"/>
    <w:rsid w:val="00941147"/>
    <w:rsid w:val="00941203"/>
    <w:rsid w:val="0094356C"/>
    <w:rsid w:val="00944225"/>
    <w:rsid w:val="00946716"/>
    <w:rsid w:val="0095013A"/>
    <w:rsid w:val="00951EAE"/>
    <w:rsid w:val="00954154"/>
    <w:rsid w:val="00954D0A"/>
    <w:rsid w:val="0096123A"/>
    <w:rsid w:val="009632FB"/>
    <w:rsid w:val="00965B39"/>
    <w:rsid w:val="00972C0F"/>
    <w:rsid w:val="00977EC6"/>
    <w:rsid w:val="00984C3B"/>
    <w:rsid w:val="00986953"/>
    <w:rsid w:val="00987912"/>
    <w:rsid w:val="00987D1F"/>
    <w:rsid w:val="00990BD7"/>
    <w:rsid w:val="00997A8A"/>
    <w:rsid w:val="009A046F"/>
    <w:rsid w:val="009A125A"/>
    <w:rsid w:val="009A41DA"/>
    <w:rsid w:val="009A4349"/>
    <w:rsid w:val="009A4DAE"/>
    <w:rsid w:val="009A4EE1"/>
    <w:rsid w:val="009A57D8"/>
    <w:rsid w:val="009A6B29"/>
    <w:rsid w:val="009B3683"/>
    <w:rsid w:val="009C1323"/>
    <w:rsid w:val="009C13DE"/>
    <w:rsid w:val="009C17D7"/>
    <w:rsid w:val="009C2286"/>
    <w:rsid w:val="009C2456"/>
    <w:rsid w:val="009C4CA9"/>
    <w:rsid w:val="009C70C2"/>
    <w:rsid w:val="009C7AA9"/>
    <w:rsid w:val="009D161C"/>
    <w:rsid w:val="009D2922"/>
    <w:rsid w:val="009D40A7"/>
    <w:rsid w:val="009D5071"/>
    <w:rsid w:val="009E22D6"/>
    <w:rsid w:val="009E3C00"/>
    <w:rsid w:val="009E5EE5"/>
    <w:rsid w:val="009E7AF0"/>
    <w:rsid w:val="009F1878"/>
    <w:rsid w:val="009F1A0F"/>
    <w:rsid w:val="009F36B5"/>
    <w:rsid w:val="009F3D73"/>
    <w:rsid w:val="009F7C43"/>
    <w:rsid w:val="00A01CBA"/>
    <w:rsid w:val="00A020DA"/>
    <w:rsid w:val="00A02BB0"/>
    <w:rsid w:val="00A04CF3"/>
    <w:rsid w:val="00A07B82"/>
    <w:rsid w:val="00A135D6"/>
    <w:rsid w:val="00A17C5E"/>
    <w:rsid w:val="00A20801"/>
    <w:rsid w:val="00A22C35"/>
    <w:rsid w:val="00A256A2"/>
    <w:rsid w:val="00A257C7"/>
    <w:rsid w:val="00A306AC"/>
    <w:rsid w:val="00A310D4"/>
    <w:rsid w:val="00A316E3"/>
    <w:rsid w:val="00A34F4B"/>
    <w:rsid w:val="00A35861"/>
    <w:rsid w:val="00A35DE0"/>
    <w:rsid w:val="00A36F43"/>
    <w:rsid w:val="00A37576"/>
    <w:rsid w:val="00A37C70"/>
    <w:rsid w:val="00A41A3D"/>
    <w:rsid w:val="00A426B4"/>
    <w:rsid w:val="00A44DF9"/>
    <w:rsid w:val="00A45074"/>
    <w:rsid w:val="00A462DA"/>
    <w:rsid w:val="00A5096C"/>
    <w:rsid w:val="00A50B1C"/>
    <w:rsid w:val="00A53B6F"/>
    <w:rsid w:val="00A53BA8"/>
    <w:rsid w:val="00A541EE"/>
    <w:rsid w:val="00A54ADA"/>
    <w:rsid w:val="00A60BA7"/>
    <w:rsid w:val="00A648A7"/>
    <w:rsid w:val="00A73697"/>
    <w:rsid w:val="00A74BB9"/>
    <w:rsid w:val="00A77749"/>
    <w:rsid w:val="00A80EE1"/>
    <w:rsid w:val="00A82A9C"/>
    <w:rsid w:val="00A8407B"/>
    <w:rsid w:val="00A84119"/>
    <w:rsid w:val="00A906B6"/>
    <w:rsid w:val="00A9096A"/>
    <w:rsid w:val="00A90BBD"/>
    <w:rsid w:val="00A91ED4"/>
    <w:rsid w:val="00A93B03"/>
    <w:rsid w:val="00A953E5"/>
    <w:rsid w:val="00A9688D"/>
    <w:rsid w:val="00A97FF9"/>
    <w:rsid w:val="00AA09F4"/>
    <w:rsid w:val="00AA1D8C"/>
    <w:rsid w:val="00AA1D9E"/>
    <w:rsid w:val="00AA1E89"/>
    <w:rsid w:val="00AA39EF"/>
    <w:rsid w:val="00AA4214"/>
    <w:rsid w:val="00AB291C"/>
    <w:rsid w:val="00AB4E8F"/>
    <w:rsid w:val="00AB6897"/>
    <w:rsid w:val="00AC11B7"/>
    <w:rsid w:val="00AC1F63"/>
    <w:rsid w:val="00AC2C03"/>
    <w:rsid w:val="00AC4459"/>
    <w:rsid w:val="00AD00DC"/>
    <w:rsid w:val="00AD0A34"/>
    <w:rsid w:val="00AD0C42"/>
    <w:rsid w:val="00AD5470"/>
    <w:rsid w:val="00AD5B47"/>
    <w:rsid w:val="00AD776D"/>
    <w:rsid w:val="00AE030F"/>
    <w:rsid w:val="00AE08F8"/>
    <w:rsid w:val="00AE46E5"/>
    <w:rsid w:val="00AE6D49"/>
    <w:rsid w:val="00AF16DA"/>
    <w:rsid w:val="00AF475A"/>
    <w:rsid w:val="00AF4B00"/>
    <w:rsid w:val="00B039CB"/>
    <w:rsid w:val="00B10C4B"/>
    <w:rsid w:val="00B1107E"/>
    <w:rsid w:val="00B176A7"/>
    <w:rsid w:val="00B2374A"/>
    <w:rsid w:val="00B23823"/>
    <w:rsid w:val="00B25263"/>
    <w:rsid w:val="00B25299"/>
    <w:rsid w:val="00B31946"/>
    <w:rsid w:val="00B32573"/>
    <w:rsid w:val="00B34B9C"/>
    <w:rsid w:val="00B36DE3"/>
    <w:rsid w:val="00B40E41"/>
    <w:rsid w:val="00B41267"/>
    <w:rsid w:val="00B430EE"/>
    <w:rsid w:val="00B45BA7"/>
    <w:rsid w:val="00B53142"/>
    <w:rsid w:val="00B53C16"/>
    <w:rsid w:val="00B546E8"/>
    <w:rsid w:val="00B554AB"/>
    <w:rsid w:val="00B563F0"/>
    <w:rsid w:val="00B567C3"/>
    <w:rsid w:val="00B63DB5"/>
    <w:rsid w:val="00B66869"/>
    <w:rsid w:val="00B7278B"/>
    <w:rsid w:val="00B75A08"/>
    <w:rsid w:val="00B76301"/>
    <w:rsid w:val="00B76D12"/>
    <w:rsid w:val="00B8242F"/>
    <w:rsid w:val="00B834D5"/>
    <w:rsid w:val="00B83CB9"/>
    <w:rsid w:val="00B84F90"/>
    <w:rsid w:val="00B85B02"/>
    <w:rsid w:val="00B869CD"/>
    <w:rsid w:val="00B90AEA"/>
    <w:rsid w:val="00B9430A"/>
    <w:rsid w:val="00B946FF"/>
    <w:rsid w:val="00B948C4"/>
    <w:rsid w:val="00B954BD"/>
    <w:rsid w:val="00BA0854"/>
    <w:rsid w:val="00BA0CAE"/>
    <w:rsid w:val="00BA2917"/>
    <w:rsid w:val="00BA4F8F"/>
    <w:rsid w:val="00BA5C53"/>
    <w:rsid w:val="00BB1B1E"/>
    <w:rsid w:val="00BB2F8C"/>
    <w:rsid w:val="00BB4202"/>
    <w:rsid w:val="00BB49D3"/>
    <w:rsid w:val="00BB6001"/>
    <w:rsid w:val="00BB600A"/>
    <w:rsid w:val="00BB7878"/>
    <w:rsid w:val="00BC0E06"/>
    <w:rsid w:val="00BD02C5"/>
    <w:rsid w:val="00BD073D"/>
    <w:rsid w:val="00BD0B04"/>
    <w:rsid w:val="00BD1A76"/>
    <w:rsid w:val="00BD3780"/>
    <w:rsid w:val="00BE4FC1"/>
    <w:rsid w:val="00BE792F"/>
    <w:rsid w:val="00BE7D75"/>
    <w:rsid w:val="00BF09BA"/>
    <w:rsid w:val="00BF0F12"/>
    <w:rsid w:val="00BF2F77"/>
    <w:rsid w:val="00BF38B2"/>
    <w:rsid w:val="00BF4A51"/>
    <w:rsid w:val="00BF579F"/>
    <w:rsid w:val="00C00382"/>
    <w:rsid w:val="00C00A42"/>
    <w:rsid w:val="00C01895"/>
    <w:rsid w:val="00C01F2E"/>
    <w:rsid w:val="00C03E54"/>
    <w:rsid w:val="00C044AC"/>
    <w:rsid w:val="00C07ED8"/>
    <w:rsid w:val="00C21097"/>
    <w:rsid w:val="00C22A5B"/>
    <w:rsid w:val="00C25C0D"/>
    <w:rsid w:val="00C26B40"/>
    <w:rsid w:val="00C307DC"/>
    <w:rsid w:val="00C30F15"/>
    <w:rsid w:val="00C324CC"/>
    <w:rsid w:val="00C330B4"/>
    <w:rsid w:val="00C33BCB"/>
    <w:rsid w:val="00C35D66"/>
    <w:rsid w:val="00C37F01"/>
    <w:rsid w:val="00C4055F"/>
    <w:rsid w:val="00C41B09"/>
    <w:rsid w:val="00C436AF"/>
    <w:rsid w:val="00C52A5C"/>
    <w:rsid w:val="00C5697B"/>
    <w:rsid w:val="00C610A6"/>
    <w:rsid w:val="00C61F7C"/>
    <w:rsid w:val="00C64118"/>
    <w:rsid w:val="00C6436D"/>
    <w:rsid w:val="00C65B87"/>
    <w:rsid w:val="00C65C0E"/>
    <w:rsid w:val="00C66150"/>
    <w:rsid w:val="00C67589"/>
    <w:rsid w:val="00C679C2"/>
    <w:rsid w:val="00C707A1"/>
    <w:rsid w:val="00C71357"/>
    <w:rsid w:val="00C75CFD"/>
    <w:rsid w:val="00C76B6D"/>
    <w:rsid w:val="00C7770A"/>
    <w:rsid w:val="00C8035E"/>
    <w:rsid w:val="00C83E02"/>
    <w:rsid w:val="00C845AB"/>
    <w:rsid w:val="00C910CD"/>
    <w:rsid w:val="00C91A26"/>
    <w:rsid w:val="00C91BF1"/>
    <w:rsid w:val="00C943E9"/>
    <w:rsid w:val="00C95D28"/>
    <w:rsid w:val="00C9792C"/>
    <w:rsid w:val="00CA0793"/>
    <w:rsid w:val="00CA2E08"/>
    <w:rsid w:val="00CA32E5"/>
    <w:rsid w:val="00CA3FD5"/>
    <w:rsid w:val="00CA4178"/>
    <w:rsid w:val="00CA448B"/>
    <w:rsid w:val="00CA70FF"/>
    <w:rsid w:val="00CA72EB"/>
    <w:rsid w:val="00CA7BC7"/>
    <w:rsid w:val="00CB564A"/>
    <w:rsid w:val="00CB676E"/>
    <w:rsid w:val="00CB746B"/>
    <w:rsid w:val="00CC237C"/>
    <w:rsid w:val="00CC41DB"/>
    <w:rsid w:val="00CC436D"/>
    <w:rsid w:val="00CD0132"/>
    <w:rsid w:val="00CD083D"/>
    <w:rsid w:val="00CD09C3"/>
    <w:rsid w:val="00CD0E30"/>
    <w:rsid w:val="00CD1E56"/>
    <w:rsid w:val="00CD3182"/>
    <w:rsid w:val="00CD3249"/>
    <w:rsid w:val="00CD3948"/>
    <w:rsid w:val="00CD3C06"/>
    <w:rsid w:val="00CD3D0B"/>
    <w:rsid w:val="00CD7D1E"/>
    <w:rsid w:val="00CE06F2"/>
    <w:rsid w:val="00CE16EB"/>
    <w:rsid w:val="00CE21EF"/>
    <w:rsid w:val="00CE5F3C"/>
    <w:rsid w:val="00CF14A3"/>
    <w:rsid w:val="00CF512D"/>
    <w:rsid w:val="00CF66B5"/>
    <w:rsid w:val="00D021B5"/>
    <w:rsid w:val="00D034E4"/>
    <w:rsid w:val="00D05A8E"/>
    <w:rsid w:val="00D06EA6"/>
    <w:rsid w:val="00D07B5F"/>
    <w:rsid w:val="00D12CDB"/>
    <w:rsid w:val="00D12EE8"/>
    <w:rsid w:val="00D14058"/>
    <w:rsid w:val="00D2058F"/>
    <w:rsid w:val="00D22427"/>
    <w:rsid w:val="00D227BD"/>
    <w:rsid w:val="00D22BBE"/>
    <w:rsid w:val="00D2468C"/>
    <w:rsid w:val="00D24BEC"/>
    <w:rsid w:val="00D32457"/>
    <w:rsid w:val="00D32BEB"/>
    <w:rsid w:val="00D34CEA"/>
    <w:rsid w:val="00D36284"/>
    <w:rsid w:val="00D36A58"/>
    <w:rsid w:val="00D448DE"/>
    <w:rsid w:val="00D455A8"/>
    <w:rsid w:val="00D4638F"/>
    <w:rsid w:val="00D4787D"/>
    <w:rsid w:val="00D50181"/>
    <w:rsid w:val="00D537FB"/>
    <w:rsid w:val="00D553C9"/>
    <w:rsid w:val="00D60417"/>
    <w:rsid w:val="00D60F11"/>
    <w:rsid w:val="00D61921"/>
    <w:rsid w:val="00D622BE"/>
    <w:rsid w:val="00D62CBC"/>
    <w:rsid w:val="00D66E37"/>
    <w:rsid w:val="00D67223"/>
    <w:rsid w:val="00D677BA"/>
    <w:rsid w:val="00D710CE"/>
    <w:rsid w:val="00D71C93"/>
    <w:rsid w:val="00D731C2"/>
    <w:rsid w:val="00D74128"/>
    <w:rsid w:val="00D76831"/>
    <w:rsid w:val="00D8223A"/>
    <w:rsid w:val="00D825C3"/>
    <w:rsid w:val="00D827C1"/>
    <w:rsid w:val="00D856D2"/>
    <w:rsid w:val="00D924B4"/>
    <w:rsid w:val="00D95ECC"/>
    <w:rsid w:val="00D96220"/>
    <w:rsid w:val="00D971E1"/>
    <w:rsid w:val="00DA2138"/>
    <w:rsid w:val="00DA44DC"/>
    <w:rsid w:val="00DA688A"/>
    <w:rsid w:val="00DA6E69"/>
    <w:rsid w:val="00DB069E"/>
    <w:rsid w:val="00DB09F0"/>
    <w:rsid w:val="00DB0BEC"/>
    <w:rsid w:val="00DB0DFF"/>
    <w:rsid w:val="00DB0E26"/>
    <w:rsid w:val="00DB4F97"/>
    <w:rsid w:val="00DB6D53"/>
    <w:rsid w:val="00DB6FED"/>
    <w:rsid w:val="00DB7321"/>
    <w:rsid w:val="00DC00E6"/>
    <w:rsid w:val="00DC4C90"/>
    <w:rsid w:val="00DD1CD1"/>
    <w:rsid w:val="00DD394C"/>
    <w:rsid w:val="00DD4A22"/>
    <w:rsid w:val="00DD4E12"/>
    <w:rsid w:val="00DD5274"/>
    <w:rsid w:val="00DE0107"/>
    <w:rsid w:val="00DE2CBF"/>
    <w:rsid w:val="00DE3C58"/>
    <w:rsid w:val="00DE41A4"/>
    <w:rsid w:val="00DF2332"/>
    <w:rsid w:val="00DF49A7"/>
    <w:rsid w:val="00DF701F"/>
    <w:rsid w:val="00E06F33"/>
    <w:rsid w:val="00E11000"/>
    <w:rsid w:val="00E11BED"/>
    <w:rsid w:val="00E12B06"/>
    <w:rsid w:val="00E12B7D"/>
    <w:rsid w:val="00E135D3"/>
    <w:rsid w:val="00E1391C"/>
    <w:rsid w:val="00E148F1"/>
    <w:rsid w:val="00E151F0"/>
    <w:rsid w:val="00E20D1D"/>
    <w:rsid w:val="00E218BA"/>
    <w:rsid w:val="00E241D0"/>
    <w:rsid w:val="00E2676C"/>
    <w:rsid w:val="00E274BD"/>
    <w:rsid w:val="00E2766F"/>
    <w:rsid w:val="00E30FB1"/>
    <w:rsid w:val="00E324BF"/>
    <w:rsid w:val="00E33038"/>
    <w:rsid w:val="00E35A2B"/>
    <w:rsid w:val="00E37150"/>
    <w:rsid w:val="00E3724F"/>
    <w:rsid w:val="00E43A56"/>
    <w:rsid w:val="00E468EB"/>
    <w:rsid w:val="00E4693F"/>
    <w:rsid w:val="00E474DD"/>
    <w:rsid w:val="00E5047C"/>
    <w:rsid w:val="00E51CD9"/>
    <w:rsid w:val="00E52DD1"/>
    <w:rsid w:val="00E57D8C"/>
    <w:rsid w:val="00E647D5"/>
    <w:rsid w:val="00E667B4"/>
    <w:rsid w:val="00E67830"/>
    <w:rsid w:val="00E7099B"/>
    <w:rsid w:val="00E7358F"/>
    <w:rsid w:val="00E741F9"/>
    <w:rsid w:val="00E74DEE"/>
    <w:rsid w:val="00E75E06"/>
    <w:rsid w:val="00E76C6A"/>
    <w:rsid w:val="00E80444"/>
    <w:rsid w:val="00E80A21"/>
    <w:rsid w:val="00E80ABE"/>
    <w:rsid w:val="00E811DF"/>
    <w:rsid w:val="00E83F78"/>
    <w:rsid w:val="00E861C3"/>
    <w:rsid w:val="00E864D2"/>
    <w:rsid w:val="00E86DC3"/>
    <w:rsid w:val="00E908E9"/>
    <w:rsid w:val="00E918FD"/>
    <w:rsid w:val="00E934E3"/>
    <w:rsid w:val="00E93A3B"/>
    <w:rsid w:val="00E941EA"/>
    <w:rsid w:val="00E942F0"/>
    <w:rsid w:val="00E945FD"/>
    <w:rsid w:val="00EA0025"/>
    <w:rsid w:val="00EA1F4A"/>
    <w:rsid w:val="00EA38B6"/>
    <w:rsid w:val="00EA66AE"/>
    <w:rsid w:val="00EB02A2"/>
    <w:rsid w:val="00EB1AD5"/>
    <w:rsid w:val="00EB216D"/>
    <w:rsid w:val="00EB4088"/>
    <w:rsid w:val="00EB6A93"/>
    <w:rsid w:val="00EB75FA"/>
    <w:rsid w:val="00EC4943"/>
    <w:rsid w:val="00ED030A"/>
    <w:rsid w:val="00ED1763"/>
    <w:rsid w:val="00ED23B2"/>
    <w:rsid w:val="00ED4982"/>
    <w:rsid w:val="00ED6581"/>
    <w:rsid w:val="00EE2816"/>
    <w:rsid w:val="00EE3968"/>
    <w:rsid w:val="00EE43C4"/>
    <w:rsid w:val="00EF0708"/>
    <w:rsid w:val="00EF0954"/>
    <w:rsid w:val="00EF11AB"/>
    <w:rsid w:val="00EF4DD7"/>
    <w:rsid w:val="00EF7D14"/>
    <w:rsid w:val="00F0110B"/>
    <w:rsid w:val="00F02A17"/>
    <w:rsid w:val="00F03B24"/>
    <w:rsid w:val="00F059E2"/>
    <w:rsid w:val="00F069E1"/>
    <w:rsid w:val="00F07C1C"/>
    <w:rsid w:val="00F11207"/>
    <w:rsid w:val="00F1253D"/>
    <w:rsid w:val="00F1255E"/>
    <w:rsid w:val="00F13836"/>
    <w:rsid w:val="00F13D2E"/>
    <w:rsid w:val="00F13F41"/>
    <w:rsid w:val="00F162CC"/>
    <w:rsid w:val="00F164E8"/>
    <w:rsid w:val="00F21188"/>
    <w:rsid w:val="00F21BF8"/>
    <w:rsid w:val="00F23731"/>
    <w:rsid w:val="00F2421E"/>
    <w:rsid w:val="00F243C2"/>
    <w:rsid w:val="00F24EAB"/>
    <w:rsid w:val="00F25AA2"/>
    <w:rsid w:val="00F25B34"/>
    <w:rsid w:val="00F2744D"/>
    <w:rsid w:val="00F30D30"/>
    <w:rsid w:val="00F31742"/>
    <w:rsid w:val="00F35937"/>
    <w:rsid w:val="00F3617A"/>
    <w:rsid w:val="00F42D37"/>
    <w:rsid w:val="00F44CD2"/>
    <w:rsid w:val="00F47B98"/>
    <w:rsid w:val="00F51635"/>
    <w:rsid w:val="00F51936"/>
    <w:rsid w:val="00F5332F"/>
    <w:rsid w:val="00F54606"/>
    <w:rsid w:val="00F555D2"/>
    <w:rsid w:val="00F57745"/>
    <w:rsid w:val="00F61D90"/>
    <w:rsid w:val="00F6694F"/>
    <w:rsid w:val="00F66C63"/>
    <w:rsid w:val="00F70078"/>
    <w:rsid w:val="00F716B6"/>
    <w:rsid w:val="00F737B5"/>
    <w:rsid w:val="00F76DA4"/>
    <w:rsid w:val="00F85AD0"/>
    <w:rsid w:val="00F8794A"/>
    <w:rsid w:val="00F919D0"/>
    <w:rsid w:val="00F94060"/>
    <w:rsid w:val="00F97B47"/>
    <w:rsid w:val="00FA5998"/>
    <w:rsid w:val="00FA5EE6"/>
    <w:rsid w:val="00FB4CD7"/>
    <w:rsid w:val="00FC1417"/>
    <w:rsid w:val="00FC19AE"/>
    <w:rsid w:val="00FC3720"/>
    <w:rsid w:val="00FC43BE"/>
    <w:rsid w:val="00FC76AE"/>
    <w:rsid w:val="00FC784E"/>
    <w:rsid w:val="00FD0830"/>
    <w:rsid w:val="00FD4D51"/>
    <w:rsid w:val="00FE1297"/>
    <w:rsid w:val="00FE52E7"/>
    <w:rsid w:val="00FE61B4"/>
    <w:rsid w:val="00FE69FE"/>
    <w:rsid w:val="00FE7346"/>
    <w:rsid w:val="00FF10A4"/>
    <w:rsid w:val="00FF1831"/>
    <w:rsid w:val="00FF2235"/>
    <w:rsid w:val="00FF311B"/>
    <w:rsid w:val="00FF42E5"/>
    <w:rsid w:val="00FF6BC8"/>
    <w:rsid w:val="113169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7"/>
    <w:semiHidden/>
    <w:unhideWhenUsed/>
    <w:uiPriority w:val="99"/>
    <w:pPr>
      <w:jc w:val="left"/>
    </w:pPr>
  </w:style>
  <w:style w:type="paragraph" w:styleId="3">
    <w:name w:val="Balloon Text"/>
    <w:basedOn w:val="1"/>
    <w:link w:val="16"/>
    <w:semiHidden/>
    <w:unhideWhenUsed/>
    <w:uiPriority w:val="99"/>
    <w:rPr>
      <w:sz w:val="18"/>
      <w:szCs w:val="18"/>
    </w:rPr>
  </w:style>
  <w:style w:type="paragraph" w:styleId="4">
    <w:name w:val="footer"/>
    <w:basedOn w:val="1"/>
    <w:link w:val="15"/>
    <w:unhideWhenUsed/>
    <w:uiPriority w:val="99"/>
    <w:pPr>
      <w:tabs>
        <w:tab w:val="center" w:pos="4153"/>
        <w:tab w:val="right" w:pos="8306"/>
      </w:tabs>
    </w:pPr>
  </w:style>
  <w:style w:type="paragraph" w:styleId="5">
    <w:name w:val="header"/>
    <w:basedOn w:val="1"/>
    <w:link w:val="14"/>
    <w:unhideWhenUsed/>
    <w:uiPriority w:val="99"/>
    <w:pPr>
      <w:tabs>
        <w:tab w:val="center" w:pos="4153"/>
        <w:tab w:val="right" w:pos="8306"/>
      </w:tabs>
    </w:pPr>
  </w:style>
  <w:style w:type="paragraph" w:styleId="6">
    <w:name w:val="footnote text"/>
    <w:basedOn w:val="1"/>
    <w:link w:val="20"/>
    <w:semiHidden/>
    <w:unhideWhenUsed/>
    <w:uiPriority w:val="99"/>
    <w:pPr>
      <w:snapToGrid w:val="0"/>
      <w:jc w:val="left"/>
    </w:pPr>
    <w:rPr>
      <w:rFonts w:ascii="仿宋_GB2312" w:eastAsia="仿宋_GB2312"/>
      <w:sz w:val="18"/>
      <w:szCs w:val="18"/>
    </w:rPr>
  </w:style>
  <w:style w:type="paragraph" w:styleId="7">
    <w:name w:val="Normal (Web)"/>
    <w:basedOn w:val="1"/>
    <w:semiHidden/>
    <w:unhideWhenUsed/>
    <w:uiPriority w:val="99"/>
    <w:pPr>
      <w:widowControl/>
      <w:jc w:val="left"/>
    </w:pPr>
    <w:rPr>
      <w:rFonts w:ascii="宋体" w:hAnsi="宋体" w:eastAsia="宋体" w:cs="宋体"/>
      <w:kern w:val="0"/>
      <w:sz w:val="24"/>
      <w:szCs w:val="24"/>
    </w:rPr>
  </w:style>
  <w:style w:type="paragraph" w:styleId="8">
    <w:name w:val="annotation subject"/>
    <w:basedOn w:val="2"/>
    <w:next w:val="2"/>
    <w:link w:val="18"/>
    <w:semiHidden/>
    <w:unhideWhenUsed/>
    <w:uiPriority w:val="99"/>
    <w:rPr>
      <w:b/>
      <w:bCs/>
    </w:rPr>
  </w:style>
  <w:style w:type="character" w:styleId="11">
    <w:name w:val="Strong"/>
    <w:basedOn w:val="10"/>
    <w:qFormat/>
    <w:uiPriority w:val="22"/>
    <w:rPr>
      <w:b/>
      <w:bCs/>
    </w:rPr>
  </w:style>
  <w:style w:type="character" w:styleId="12">
    <w:name w:val="annotation reference"/>
    <w:basedOn w:val="10"/>
    <w:semiHidden/>
    <w:unhideWhenUsed/>
    <w:uiPriority w:val="99"/>
    <w:rPr>
      <w:sz w:val="21"/>
      <w:szCs w:val="21"/>
    </w:rPr>
  </w:style>
  <w:style w:type="character" w:styleId="13">
    <w:name w:val="footnote reference"/>
    <w:basedOn w:val="10"/>
    <w:semiHidden/>
    <w:unhideWhenUsed/>
    <w:uiPriority w:val="99"/>
    <w:rPr>
      <w:vertAlign w:val="superscript"/>
    </w:rPr>
  </w:style>
  <w:style w:type="character" w:customStyle="1" w:styleId="14">
    <w:name w:val="页眉 Char"/>
    <w:basedOn w:val="10"/>
    <w:link w:val="5"/>
    <w:uiPriority w:val="99"/>
  </w:style>
  <w:style w:type="character" w:customStyle="1" w:styleId="15">
    <w:name w:val="页脚 Char"/>
    <w:basedOn w:val="10"/>
    <w:link w:val="4"/>
    <w:uiPriority w:val="99"/>
  </w:style>
  <w:style w:type="character" w:customStyle="1" w:styleId="16">
    <w:name w:val="批注框文本 Char"/>
    <w:basedOn w:val="10"/>
    <w:link w:val="3"/>
    <w:semiHidden/>
    <w:uiPriority w:val="99"/>
    <w:rPr>
      <w:sz w:val="18"/>
      <w:szCs w:val="18"/>
    </w:rPr>
  </w:style>
  <w:style w:type="character" w:customStyle="1" w:styleId="17">
    <w:name w:val="批注文字 Char"/>
    <w:basedOn w:val="10"/>
    <w:link w:val="2"/>
    <w:semiHidden/>
    <w:uiPriority w:val="99"/>
  </w:style>
  <w:style w:type="character" w:customStyle="1" w:styleId="18">
    <w:name w:val="批注主题 Char"/>
    <w:basedOn w:val="17"/>
    <w:link w:val="8"/>
    <w:semiHidden/>
    <w:uiPriority w:val="99"/>
    <w:rPr>
      <w:b/>
      <w:bCs/>
    </w:rPr>
  </w:style>
  <w:style w:type="paragraph" w:styleId="19">
    <w:name w:val="List Paragraph"/>
    <w:basedOn w:val="1"/>
    <w:qFormat/>
    <w:uiPriority w:val="34"/>
    <w:pPr>
      <w:ind w:firstLine="420" w:firstLineChars="200"/>
    </w:pPr>
  </w:style>
  <w:style w:type="character" w:customStyle="1" w:styleId="20">
    <w:name w:val="脚注文本 Char"/>
    <w:basedOn w:val="10"/>
    <w:link w:val="6"/>
    <w:semiHidden/>
    <w:uiPriority w:val="99"/>
    <w:rPr>
      <w:rFonts w:ascii="仿宋_GB2312" w:eastAsia="仿宋_GB2312"/>
      <w:sz w:val="18"/>
      <w:szCs w:val="18"/>
    </w:rPr>
  </w:style>
  <w:style w:type="paragraph" w:customStyle="1" w:styleId="21">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22BFC7-2FC1-4610-A4CD-92D3CF0006B4}">
  <ds:schemaRefs/>
</ds:datastoreItem>
</file>

<file path=docProps/app.xml><?xml version="1.0" encoding="utf-8"?>
<Properties xmlns="http://schemas.openxmlformats.org/officeDocument/2006/extended-properties" xmlns:vt="http://schemas.openxmlformats.org/officeDocument/2006/docPropsVTypes">
  <Template>Normal.dotm</Template>
  <Pages>8</Pages>
  <Words>627</Words>
  <Characters>3576</Characters>
  <Lines>29</Lines>
  <Paragraphs>8</Paragraphs>
  <TotalTime>10</TotalTime>
  <ScaleCrop>false</ScaleCrop>
  <LinksUpToDate>false</LinksUpToDate>
  <CharactersWithSpaces>4195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2020-11-23T08:06:00Z</dcterms:created>
  <dc:creator>Lee Leonardo</dc:creator>
  <cp:lastModifiedBy>fanll</cp:lastModifiedBy>
  <cp:lastPrinted>2020-11-11T06:30:00Z</cp:lastPrinted>
  <dcterms:modified xsi:type="dcterms:W3CDTF">2020-11-27T05:31:15Z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