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sz w:val="44"/>
          <w:szCs w:val="44"/>
        </w:rPr>
      </w:pPr>
      <w:r>
        <w:rPr>
          <w:rFonts w:hint="eastAsia" w:ascii="方正仿宋_GBK" w:hAnsi="方正仿宋_GBK" w:cs="方正仿宋_GBK"/>
          <w:szCs w:val="32"/>
        </w:rPr>
        <w:t>皖招考函[201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9</w:t>
      </w:r>
      <w:r>
        <w:rPr>
          <w:rFonts w:hint="eastAsia" w:ascii="方正仿宋_GBK" w:hAnsi="方正仿宋_GBK" w:cs="方正仿宋_GBK"/>
          <w:szCs w:val="32"/>
        </w:rPr>
        <w:t>]</w:t>
      </w:r>
      <w:r>
        <w:rPr>
          <w:rFonts w:hint="eastAsia" w:ascii="方正仿宋_GBK" w:hAnsi="方正仿宋_GBK" w:cs="方正仿宋_GBK"/>
          <w:szCs w:val="32"/>
          <w:lang w:val="en-US" w:eastAsia="zh-CN"/>
        </w:rPr>
        <w:t xml:space="preserve"> 91</w:t>
      </w:r>
      <w:r>
        <w:rPr>
          <w:rFonts w:hint="eastAsia" w:ascii="方正仿宋_GBK" w:hAnsi="方正仿宋_GBK" w:cs="方正仿宋_GBK"/>
          <w:szCs w:val="32"/>
        </w:rPr>
        <w:t>号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关于举办201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年全国普通高校在皖招生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网上咨询活动的通知</w:t>
      </w:r>
    </w:p>
    <w:p>
      <w:pPr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各在皖招生院校：    </w:t>
      </w:r>
    </w:p>
    <w:p>
      <w:pPr>
        <w:ind w:firstLine="0" w:firstLineChars="0"/>
        <w:rPr>
          <w:rFonts w:hint="eastAsia" w:ascii="方正仿宋_GBK" w:hAnsi="方正仿宋_GBK" w:cs="方正仿宋_GBK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273746"/>
          <w:spacing w:val="30"/>
          <w:sz w:val="32"/>
          <w:szCs w:val="32"/>
          <w:shd w:val="clear" w:color="auto" w:fill="FFFFFF"/>
        </w:rPr>
        <w:t>教育部《关于做好2019年普通高校招生工作的通知》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273746"/>
          <w:spacing w:val="30"/>
          <w:sz w:val="32"/>
          <w:szCs w:val="32"/>
          <w:shd w:val="clear" w:color="auto" w:fill="FFFFFF"/>
          <w:lang w:eastAsia="zh-CN"/>
        </w:rPr>
        <w:t>和《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instrText xml:space="preserve"> HYPERLINK "http://oa.ahedu.gov.cn/document/documentread/open.shtml?e_id=82872&amp;search=bt|%E5%AE%89%E5%BE%BD%E7%9C%81%E9%AB%98%E7%AD%89%E5%AD%A6%E6%A0%A1%E6%8B%9B%E7%94%9F%E5%A7%94%E5%91%98%E4%BC%9A%E5%85%B3%E4%BA%8E%E5%8D%B0%E5%8F%912019%E5%B9%B4%E6%99%AE%E9%80%9A%E9%AB%98%E6%A0%A1%E6%8B%9B%E7%94%9F%E5%B7%A5%E4%BD%9C%E5%AE%9E%E6%96%BD%E6%84%8F%E8%A7%81%E7%9A%84%E9%80%9A%E7%9F%A5&amp;wenhaokind=all&amp;offset=0" \o "安徽省高等学校招生委员会关于印发2019年普通高校招生工作实施意见的通知" \t "http://oa.ahedu.gov.cn/document/documentread/documentlist/all/_blank"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安徽省高等学校招生委员会关于印发2019年普通高校招生工作实施意见的通知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皖招委〔2019〕1号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）以及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273746"/>
          <w:spacing w:val="30"/>
          <w:sz w:val="32"/>
          <w:szCs w:val="32"/>
          <w:shd w:val="clear" w:color="auto" w:fill="FFFFFF"/>
          <w:lang w:eastAsia="zh-CN"/>
        </w:rPr>
        <w:t>“全省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2019年普通高校招生考试安全工作电视电话会议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等精神，着力解决考生关心、社会关</w:t>
      </w:r>
      <w:r>
        <w:rPr>
          <w:rFonts w:hint="eastAsia" w:ascii="方正仿宋_GBK" w:hAnsi="方正仿宋_GBK" w:cs="方正仿宋_GBK"/>
          <w:szCs w:val="32"/>
        </w:rPr>
        <w:t>注的问题，切实做好我省201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9</w:t>
      </w:r>
      <w:r>
        <w:rPr>
          <w:rFonts w:hint="eastAsia" w:ascii="方正仿宋_GBK" w:hAnsi="方正仿宋_GBK" w:cs="方正仿宋_GBK"/>
          <w:szCs w:val="32"/>
        </w:rPr>
        <w:t>年普通高校招生工作的政策解读、志愿填报、信息查询等服务工作，经研究，安徽省教育招生考试院和安徽省教育厅信息中心将联合举办201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9</w:t>
      </w:r>
      <w:r>
        <w:rPr>
          <w:rFonts w:hint="eastAsia" w:ascii="方正仿宋_GBK" w:hAnsi="方正仿宋_GBK" w:cs="方正仿宋_GBK"/>
          <w:szCs w:val="32"/>
        </w:rPr>
        <w:t>年在皖普通招生院校网上公益咨询活动。现将有关事宜通知如下：</w:t>
      </w:r>
    </w:p>
    <w:p>
      <w:pPr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一、</w:t>
      </w:r>
      <w:r>
        <w:rPr>
          <w:rFonts w:hint="eastAsia" w:ascii="方正仿宋_GBK" w:hAnsi="方正仿宋_GBK" w:cs="方正仿宋_GBK"/>
          <w:szCs w:val="32"/>
          <w:lang w:eastAsia="zh-CN"/>
        </w:rPr>
        <w:t>网上公益咨询活动栏目设置及活动安排</w:t>
      </w:r>
    </w:p>
    <w:p>
      <w:pPr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</w:t>
      </w:r>
      <w:r>
        <w:rPr>
          <w:rFonts w:hint="eastAsia" w:ascii="方正仿宋_GBK" w:hAnsi="方正仿宋_GBK" w:cs="方正仿宋_GBK"/>
          <w:szCs w:val="32"/>
          <w:lang w:eastAsia="zh-CN"/>
        </w:rPr>
        <w:t>在安徽省教育厅网站（http://www.ahedu.gov.cn）开办“安徽高招咨询平台”，并设立</w:t>
      </w:r>
      <w:r>
        <w:rPr>
          <w:rFonts w:hint="eastAsia" w:ascii="方正仿宋_GBK" w:hAnsi="方正仿宋_GBK" w:cs="方正仿宋_GBK"/>
          <w:szCs w:val="32"/>
        </w:rPr>
        <w:t>“招生政策”、“招生章程”、“在线答疑”(留言板式、聊天式和视频互动)、“招生动态”</w:t>
      </w:r>
      <w:r>
        <w:rPr>
          <w:rFonts w:hint="eastAsia" w:ascii="方正仿宋_GBK" w:hAnsi="方正仿宋_GBK" w:cs="方正仿宋_GBK"/>
          <w:szCs w:val="32"/>
          <w:lang w:eastAsia="zh-CN"/>
        </w:rPr>
        <w:t>和</w:t>
      </w:r>
      <w:r>
        <w:rPr>
          <w:rFonts w:hint="eastAsia" w:ascii="方正仿宋_GBK" w:hAnsi="方正仿宋_GBK" w:cs="方正仿宋_GBK"/>
          <w:szCs w:val="32"/>
        </w:rPr>
        <w:t>“院校快讯”等栏目。</w:t>
      </w:r>
    </w:p>
    <w:p>
      <w:pPr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为了扩大</w:t>
      </w:r>
      <w:r>
        <w:rPr>
          <w:rFonts w:hint="eastAsia" w:ascii="方正仿宋_GBK" w:hAnsi="方正仿宋_GBK" w:cs="方正仿宋_GBK"/>
          <w:szCs w:val="32"/>
          <w:lang w:eastAsia="zh-CN"/>
        </w:rPr>
        <w:t>“</w:t>
      </w:r>
      <w:r>
        <w:rPr>
          <w:rFonts w:hint="eastAsia" w:ascii="方正仿宋_GBK" w:hAnsi="方正仿宋_GBK" w:cs="方正仿宋_GBK"/>
          <w:szCs w:val="32"/>
        </w:rPr>
        <w:t>安徽高招咨询平台</w:t>
      </w:r>
      <w:r>
        <w:rPr>
          <w:rFonts w:hint="eastAsia" w:ascii="方正仿宋_GBK" w:hAnsi="方正仿宋_GBK" w:cs="方正仿宋_GBK"/>
          <w:szCs w:val="32"/>
          <w:lang w:eastAsia="zh-CN"/>
        </w:rPr>
        <w:t>”</w:t>
      </w:r>
      <w:r>
        <w:rPr>
          <w:rFonts w:hint="eastAsia" w:ascii="方正仿宋_GBK" w:hAnsi="方正仿宋_GBK" w:cs="方正仿宋_GBK"/>
          <w:szCs w:val="32"/>
        </w:rPr>
        <w:t>的宣传影响力，安徽省教育招生考院将继续在</w:t>
      </w:r>
      <w:r>
        <w:rPr>
          <w:rFonts w:hint="eastAsia" w:ascii="方正仿宋_GBK" w:hAnsi="方正仿宋_GBK" w:cs="方正仿宋_GBK"/>
          <w:szCs w:val="32"/>
          <w:lang w:eastAsia="zh-CN"/>
        </w:rPr>
        <w:t>《</w:t>
      </w:r>
      <w:r>
        <w:rPr>
          <w:rFonts w:hint="eastAsia" w:ascii="方正仿宋_GBK" w:hAnsi="方正仿宋_GBK" w:cs="方正仿宋_GBK"/>
          <w:szCs w:val="32"/>
        </w:rPr>
        <w:t>安徽省201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9</w:t>
      </w:r>
      <w:r>
        <w:rPr>
          <w:rFonts w:hint="eastAsia" w:ascii="方正仿宋_GBK" w:hAnsi="方正仿宋_GBK" w:cs="方正仿宋_GBK"/>
          <w:szCs w:val="32"/>
        </w:rPr>
        <w:t>年普通高校招生报考指南</w:t>
      </w:r>
      <w:r>
        <w:rPr>
          <w:rFonts w:hint="eastAsia" w:ascii="方正仿宋_GBK" w:hAnsi="方正仿宋_GBK" w:cs="方正仿宋_GBK"/>
          <w:szCs w:val="32"/>
          <w:lang w:eastAsia="zh-CN"/>
        </w:rPr>
        <w:t>》</w:t>
      </w:r>
      <w:r>
        <w:rPr>
          <w:rFonts w:hint="eastAsia" w:ascii="方正仿宋_GBK" w:hAnsi="方正仿宋_GBK" w:cs="方正仿宋_GBK"/>
          <w:szCs w:val="32"/>
        </w:rPr>
        <w:t>刊登“安徽高招咨询平台”首页图片。</w:t>
      </w:r>
    </w:p>
    <w:p>
      <w:pPr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今年继续开展网上咨询周和</w:t>
      </w:r>
      <w:r>
        <w:rPr>
          <w:rFonts w:hint="eastAsia" w:ascii="方正仿宋_GBK" w:hAnsi="方正仿宋_GBK" w:cs="方正仿宋_GBK"/>
          <w:szCs w:val="32"/>
          <w:lang w:eastAsia="zh-CN"/>
        </w:rPr>
        <w:t>安徽</w:t>
      </w:r>
      <w:r>
        <w:rPr>
          <w:rFonts w:hint="eastAsia" w:ascii="方正仿宋_GBK" w:hAnsi="方正仿宋_GBK" w:cs="方正仿宋_GBK"/>
          <w:szCs w:val="32"/>
        </w:rPr>
        <w:t>省教育厅、</w:t>
      </w:r>
      <w:r>
        <w:rPr>
          <w:rFonts w:hint="eastAsia" w:ascii="方正仿宋_GBK" w:hAnsi="方正仿宋_GBK" w:cs="方正仿宋_GBK"/>
          <w:szCs w:val="32"/>
          <w:lang w:eastAsia="zh-CN"/>
        </w:rPr>
        <w:t>安徽省教育招生</w:t>
      </w:r>
      <w:r>
        <w:rPr>
          <w:rFonts w:hint="eastAsia" w:ascii="方正仿宋_GBK" w:hAnsi="方正仿宋_GBK" w:cs="方正仿宋_GBK"/>
          <w:szCs w:val="32"/>
        </w:rPr>
        <w:t>考试院领导及部分在皖招生院校招生办主任访谈活动。本科院校网上咨询周时间为6月22日至6月28日，专科院校网上咨询周时间为6月28日至7月2日，每日咨询时间段为9:00至18:00。</w:t>
      </w:r>
    </w:p>
    <w:p>
      <w:pPr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二、参加“高招咨询平台”</w:t>
      </w:r>
      <w:r>
        <w:rPr>
          <w:rFonts w:hint="eastAsia" w:ascii="方正仿宋_GBK" w:hAnsi="方正仿宋_GBK" w:cs="方正仿宋_GBK"/>
          <w:szCs w:val="32"/>
          <w:lang w:eastAsia="zh-CN"/>
        </w:rPr>
        <w:t>流程与信息发布</w:t>
      </w:r>
    </w:p>
    <w:p>
      <w:pPr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</w:t>
      </w:r>
      <w:r>
        <w:rPr>
          <w:rFonts w:hint="eastAsia" w:ascii="方正仿宋_GBK" w:hAnsi="方正仿宋_GBK" w:cs="方正仿宋_GBK"/>
          <w:szCs w:val="32"/>
          <w:lang w:eastAsia="zh-CN"/>
        </w:rPr>
        <w:t>请各在皖招生高校接到本通知后，立即登陆</w:t>
      </w:r>
      <w:r>
        <w:rPr>
          <w:rFonts w:hint="eastAsia" w:ascii="方正仿宋_GBK" w:hAnsi="方正仿宋_GBK" w:cs="方正仿宋_GBK"/>
          <w:szCs w:val="32"/>
        </w:rPr>
        <w:t xml:space="preserve">“安徽高招咨询平台”( </w:t>
      </w:r>
      <w:r>
        <w:rPr>
          <w:rFonts w:hint="eastAsia" w:ascii="方正仿宋_GBK" w:hAnsi="方正仿宋_GBK" w:cs="方正仿宋_GBK"/>
          <w:szCs w:val="32"/>
          <w:lang w:eastAsia="zh-CN"/>
        </w:rPr>
        <w:t>http://</w:t>
      </w:r>
      <w:r>
        <w:rPr>
          <w:rFonts w:hint="eastAsia" w:ascii="方正仿宋_GBK" w:hAnsi="方正仿宋_GBK" w:cs="方正仿宋_GBK"/>
          <w:szCs w:val="32"/>
        </w:rPr>
        <w:t>gaokao.ahiyzx.cn)，在线提交申请表格，并自行</w:t>
      </w:r>
      <w:r>
        <w:rPr>
          <w:rFonts w:hint="eastAsia" w:ascii="方正仿宋_GBK" w:hAnsi="方正仿宋_GBK" w:cs="方正仿宋_GBK"/>
          <w:szCs w:val="32"/>
          <w:lang w:eastAsia="zh-CN"/>
        </w:rPr>
        <w:t>设置</w:t>
      </w:r>
      <w:r>
        <w:rPr>
          <w:rFonts w:hint="eastAsia" w:ascii="方正仿宋_GBK" w:hAnsi="方正仿宋_GBK" w:cs="方正仿宋_GBK"/>
          <w:szCs w:val="32"/>
        </w:rPr>
        <w:t>用户名和密码。得到到确认后，即可在线提交和修改本校的“院校介绍”、“招生动态”、“招生政策”、“专业介绍”、“招生计划”、近几年在皖招生情况（招生计划、实际录取数、各专业实际录取最高分、最低分和平均分）等信息，并进行在线答疑（留言板式、聊天式）。各高校严格按照教育部有关文件要求，对在平台上发布信息的真实性、准确性负责</w:t>
      </w:r>
    </w:p>
    <w:p>
      <w:pPr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三、确定招生院校联络员</w:t>
      </w:r>
    </w:p>
    <w:p>
      <w:pPr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参加网上招生咨询活动的招生院校务必确定本校招生办1名同志作为网上咨询联络员，负责本校网上咨询工作。联络员名单、手机、qq号、E-mai等联系方式在线提交。联系人：杨晓伟、卢肖，电话:0551-69118381。</w:t>
      </w:r>
    </w:p>
    <w:p>
      <w:pPr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附件：201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9</w:t>
      </w:r>
      <w:r>
        <w:rPr>
          <w:rFonts w:hint="eastAsia" w:ascii="方正仿宋_GBK" w:hAnsi="方正仿宋_GBK" w:cs="方正仿宋_GBK"/>
          <w:szCs w:val="32"/>
        </w:rPr>
        <w:t>年安徽高招咨询平台网上咨询周时间安排表</w:t>
      </w:r>
    </w:p>
    <w:p>
      <w:pPr>
        <w:jc w:val="center"/>
        <w:rPr>
          <w:rFonts w:hint="eastAsia" w:ascii="方正仿宋_GBK" w:hAnsi="方正仿宋_GBK" w:cs="方正仿宋_GBK"/>
          <w:szCs w:val="32"/>
        </w:rPr>
      </w:pPr>
    </w:p>
    <w:p>
      <w:pPr>
        <w:jc w:val="center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安徽省教育招生考试院     安徽省教育信息咨询中心</w:t>
      </w:r>
    </w:p>
    <w:p>
      <w:pPr>
        <w:ind w:firstLine="5372" w:firstLineChars="1700"/>
        <w:rPr>
          <w:rFonts w:hint="eastAsia" w:ascii="方正黑体_GBK" w:hAnsi="方正黑体_GBK" w:eastAsia="方正黑体_GBK" w:cs="方正黑体_GBK"/>
          <w:szCs w:val="32"/>
        </w:rPr>
        <w:sectPr>
          <w:footerReference r:id="rId3" w:type="default"/>
          <w:footerReference r:id="rId4" w:type="even"/>
          <w:pgSz w:w="11906" w:h="16838"/>
          <w:pgMar w:top="2041" w:right="1531" w:bottom="2041" w:left="1531" w:header="851" w:footer="1588" w:gutter="0"/>
          <w:cols w:space="720" w:num="1"/>
          <w:docGrid w:type="linesAndChars" w:linePitch="579" w:charSpace="-849"/>
        </w:sectPr>
      </w:pPr>
      <w:r>
        <w:rPr>
          <w:rFonts w:hint="eastAsia" w:ascii="方正仿宋_GBK" w:hAnsi="方正仿宋_GBK" w:cs="方正仿宋_GBK"/>
          <w:szCs w:val="32"/>
        </w:rPr>
        <w:t>201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9</w:t>
      </w:r>
      <w:r>
        <w:rPr>
          <w:rFonts w:hint="eastAsia" w:ascii="方正仿宋_GBK" w:hAnsi="方正仿宋_GBK" w:cs="方正仿宋_GBK"/>
          <w:szCs w:val="32"/>
        </w:rPr>
        <w:t xml:space="preserve">年5月 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方正仿宋_GBK" w:hAnsi="方正仿宋_GBK" w:cs="方正仿宋_GBK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方正黑体_GBK" w:hAnsi="方正黑体_GBK" w:eastAsia="方正黑体_GBK" w:cs="方正黑体_GBK"/>
          <w:szCs w:val="32"/>
        </w:rPr>
        <w:t>附件：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年安徽高招咨询平台网上咨询周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时间安排表(样表)</w:t>
      </w:r>
    </w:p>
    <w:p>
      <w:pPr>
        <w:ind w:firstLine="944" w:firstLineChars="400"/>
        <w:rPr>
          <w:rFonts w:hint="eastAsia" w:ascii="方正仿宋_GBK" w:hAnsi="方正仿宋_GBK" w:cs="方正仿宋_GBK"/>
          <w:sz w:val="24"/>
        </w:rPr>
      </w:pPr>
      <w:r>
        <w:rPr>
          <w:rFonts w:hint="eastAsia" w:ascii="方正仿宋_GBK" w:hAnsi="方正仿宋_GBK" w:cs="方正仿宋_GBK"/>
          <w:sz w:val="24"/>
        </w:rPr>
        <w:t>学校名称:</w:t>
      </w:r>
    </w:p>
    <w:tbl>
      <w:tblPr>
        <w:tblStyle w:val="8"/>
        <w:tblW w:w="128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335"/>
        <w:gridCol w:w="1350"/>
        <w:gridCol w:w="1740"/>
        <w:gridCol w:w="1860"/>
        <w:gridCol w:w="2843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日期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时间段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联系人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联系电话</w:t>
            </w:r>
          </w:p>
        </w:tc>
        <w:tc>
          <w:tcPr>
            <w:tcW w:w="2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E-mail</w:t>
            </w:r>
          </w:p>
        </w:tc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手机</w:t>
            </w:r>
          </w:p>
        </w:tc>
        <w:tc>
          <w:tcPr>
            <w:tcW w:w="1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办公室电话</w:t>
            </w:r>
          </w:p>
        </w:tc>
        <w:tc>
          <w:tcPr>
            <w:tcW w:w="2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6月22日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6月23日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6月24日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6月25日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6月26日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6月27日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6月28日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6月29日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6月30日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7月1日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7月2日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400" w:lineRule="exact"/>
        <w:ind w:firstLine="552" w:firstLineChars="200"/>
      </w:pPr>
      <w:r>
        <w:rPr>
          <w:rFonts w:hint="eastAsia" w:ascii="方正仿宋_GBK" w:hAnsi="方正仿宋_GBK" w:cs="方正仿宋_GBK"/>
          <w:sz w:val="28"/>
          <w:szCs w:val="28"/>
        </w:rPr>
        <w:t>注意：1.咨询周的最终时间安排以网络公告为准；2.所有本科院校每校最多安排3天，每天时问段9:00-18:00之间的任意1个小时，其余时间根据考生的咨询量适当延长，如果招生办同志需要临时词整咨询时间，请提前通知安徽省教育厅信息中心；3.此表通过网上填报方式报送，填报网址：http：/anoka.shiyan.cn/tb，联系人：杨晓伟，卢肖，联系电话:0551-69118381。</w:t>
      </w:r>
    </w:p>
    <w:sectPr>
      <w:pgSz w:w="16838" w:h="11906" w:orient="landscape"/>
      <w:pgMar w:top="1531" w:right="2041" w:bottom="1531" w:left="204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uxingm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5"/>
        <w:rFonts w:hint="eastAsia" w:ascii="宋体" w:hAnsi="宋体" w:eastAsia="宋体"/>
        <w:sz w:val="28"/>
        <w:szCs w:val="28"/>
      </w:rPr>
      <w:instrText xml:space="preserve"> PAGE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5"/>
        <w:rFonts w:hint="eastAsia" w:ascii="宋体" w:hAnsi="宋体" w:eastAsia="宋体"/>
        <w:sz w:val="28"/>
        <w:szCs w:val="28"/>
      </w:rPr>
      <w:instrText xml:space="preserve"> PAGE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B77C5"/>
    <w:rsid w:val="2DBC78F5"/>
    <w:rsid w:val="3EB0310A"/>
    <w:rsid w:val="3F00394A"/>
    <w:rsid w:val="5CBE196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4">
    <w:name w:val="Strong"/>
    <w:basedOn w:val="3"/>
    <w:qFormat/>
    <w:uiPriority w:val="0"/>
    <w:rPr>
      <w:b/>
      <w:color w:val="FEF1D6"/>
    </w:rPr>
  </w:style>
  <w:style w:type="character" w:styleId="5">
    <w:name w:val="page number"/>
    <w:basedOn w:val="3"/>
    <w:uiPriority w:val="0"/>
  </w:style>
  <w:style w:type="character" w:styleId="6">
    <w:name w:val="FollowedHyperlink"/>
    <w:basedOn w:val="3"/>
    <w:uiPriority w:val="0"/>
    <w:rPr>
      <w:color w:val="444444"/>
      <w:sz w:val="21"/>
      <w:szCs w:val="21"/>
      <w:u w:val="none"/>
    </w:rPr>
  </w:style>
  <w:style w:type="character" w:styleId="7">
    <w:name w:val="Hyperlink"/>
    <w:basedOn w:val="3"/>
    <w:uiPriority w:val="0"/>
    <w:rPr>
      <w:color w:val="444444"/>
      <w:sz w:val="21"/>
      <w:szCs w:val="21"/>
      <w:u w:val="none"/>
    </w:rPr>
  </w:style>
  <w:style w:type="character" w:customStyle="1" w:styleId="9">
    <w:name w:val="ui-icon36"/>
    <w:basedOn w:val="3"/>
    <w:uiPriority w:val="0"/>
  </w:style>
  <w:style w:type="character" w:customStyle="1" w:styleId="10">
    <w:name w:val="legend"/>
    <w:basedOn w:val="3"/>
    <w:uiPriority w:val="0"/>
    <w:rPr>
      <w:rFonts w:ascii="Arial" w:hAnsi="Arial" w:cs="Arial"/>
      <w:b/>
      <w:color w:val="73B304"/>
      <w:sz w:val="21"/>
      <w:szCs w:val="21"/>
      <w:shd w:val="clear" w:fill="FFFFFF"/>
    </w:rPr>
  </w:style>
  <w:style w:type="character" w:customStyle="1" w:styleId="11">
    <w:name w:val="ui-icon35"/>
    <w:basedOn w:val="3"/>
    <w:uiPriority w:val="0"/>
  </w:style>
  <w:style w:type="character" w:customStyle="1" w:styleId="12">
    <w:name w:val="current"/>
    <w:basedOn w:val="3"/>
    <w:qFormat/>
    <w:uiPriority w:val="0"/>
    <w:rPr>
      <w:b/>
      <w:color w:val="FFFFFF"/>
      <w:bdr w:val="single" w:color="000099" w:sz="6" w:space="0"/>
      <w:shd w:val="clear" w:fill="000099"/>
    </w:rPr>
  </w:style>
  <w:style w:type="character" w:customStyle="1" w:styleId="13">
    <w:name w:val="disabled"/>
    <w:basedOn w:val="3"/>
    <w:qFormat/>
    <w:uiPriority w:val="0"/>
    <w:rPr>
      <w:color w:val="DDDDDD"/>
      <w:bdr w:val="single" w:color="EEEEEE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jjq-1305</dc:creator>
  <cp:lastModifiedBy>计家清</cp:lastModifiedBy>
  <dcterms:modified xsi:type="dcterms:W3CDTF">2019-05-28T01:40:45Z</dcterms:modified>
  <dc:title>皖招考函[2019]   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