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70" w:lineRule="auto"/>
        <w:ind w:firstLine="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4</w:t>
      </w:r>
    </w:p>
    <w:p>
      <w:pPr>
        <w:jc w:val="left"/>
        <w:rPr>
          <w:rFonts w:hint="eastAsia" w:ascii="黑体" w:hAnsi="黑体" w:eastAsia="黑体"/>
          <w:b w:val="0"/>
          <w:bCs/>
          <w:sz w:val="32"/>
          <w:szCs w:val="32"/>
          <w:lang w:eastAsia="zh-CN"/>
        </w:rPr>
      </w:pPr>
    </w:p>
    <w:p>
      <w:pPr>
        <w:jc w:val="center"/>
        <w:rPr>
          <w:rFonts w:ascii="黑体" w:hAnsi="黑体" w:eastAsia="黑体"/>
          <w:b/>
          <w:sz w:val="44"/>
          <w:szCs w:val="44"/>
        </w:rPr>
      </w:pPr>
      <w:r>
        <w:rPr>
          <w:rFonts w:hint="eastAsia" w:ascii="黑体" w:hAnsi="黑体" w:eastAsia="黑体"/>
          <w:b/>
          <w:sz w:val="44"/>
          <w:szCs w:val="44"/>
        </w:rPr>
        <w:t>广西中医药大学高水平运动员新生专业</w:t>
      </w:r>
    </w:p>
    <w:p>
      <w:pPr>
        <w:jc w:val="center"/>
        <w:rPr>
          <w:rFonts w:ascii="黑体" w:hAnsi="黑体" w:eastAsia="黑体"/>
          <w:b/>
          <w:sz w:val="44"/>
          <w:szCs w:val="44"/>
        </w:rPr>
      </w:pPr>
      <w:r>
        <w:rPr>
          <w:rFonts w:hint="eastAsia" w:ascii="黑体" w:hAnsi="黑体" w:eastAsia="黑体"/>
          <w:b/>
          <w:sz w:val="44"/>
          <w:szCs w:val="44"/>
        </w:rPr>
        <w:t>分配管理规定（试行）</w:t>
      </w:r>
    </w:p>
    <w:p>
      <w:pPr>
        <w:spacing w:line="370" w:lineRule="auto"/>
        <w:ind w:firstLine="640"/>
        <w:rPr>
          <w:rFonts w:ascii="仿宋" w:hAnsi="仿宋" w:eastAsia="仿宋" w:cs="仿宋"/>
          <w:sz w:val="32"/>
          <w:szCs w:val="32"/>
        </w:rPr>
      </w:pPr>
    </w:p>
    <w:p>
      <w:pPr>
        <w:spacing w:line="370" w:lineRule="auto"/>
        <w:ind w:firstLine="640"/>
        <w:rPr>
          <w:rFonts w:ascii="仿宋" w:hAnsi="仿宋" w:eastAsia="仿宋" w:cs="仿宋"/>
          <w:sz w:val="32"/>
          <w:szCs w:val="32"/>
        </w:rPr>
      </w:pPr>
      <w:r>
        <w:rPr>
          <w:rFonts w:hint="eastAsia" w:ascii="仿宋" w:hAnsi="仿宋" w:eastAsia="仿宋" w:cs="仿宋"/>
          <w:sz w:val="32"/>
          <w:szCs w:val="32"/>
        </w:rPr>
        <w:t>为了提高高水平运动员的招生、培养质量，规范高水平运动员新生专业分配，依据有关规定并结合我校实际，制定本规定：</w:t>
      </w:r>
    </w:p>
    <w:p>
      <w:pPr>
        <w:spacing w:line="351" w:lineRule="auto"/>
        <w:ind w:right="120" w:firstLine="640"/>
        <w:jc w:val="both"/>
        <w:rPr>
          <w:rFonts w:ascii="仿宋" w:hAnsi="仿宋" w:eastAsia="仿宋" w:cs="仿宋"/>
          <w:sz w:val="32"/>
          <w:szCs w:val="32"/>
        </w:rPr>
      </w:pPr>
      <w:r>
        <w:rPr>
          <w:rFonts w:hint="eastAsia" w:ascii="仿宋" w:hAnsi="仿宋" w:eastAsia="仿宋" w:cs="仿宋"/>
          <w:sz w:val="32"/>
          <w:szCs w:val="32"/>
        </w:rPr>
        <w:t>一、高水平运动员新生所选报的本科专业必须在广西中医药大学当年本科招生计划所列专业中。</w:t>
      </w:r>
    </w:p>
    <w:p>
      <w:pPr>
        <w:spacing w:line="370" w:lineRule="auto"/>
        <w:ind w:right="120" w:firstLine="640"/>
        <w:jc w:val="both"/>
        <w:rPr>
          <w:rFonts w:ascii="仿宋" w:hAnsi="仿宋" w:eastAsia="仿宋" w:cs="仿宋"/>
          <w:sz w:val="32"/>
          <w:szCs w:val="32"/>
        </w:rPr>
      </w:pPr>
      <w:r>
        <w:rPr>
          <w:rFonts w:hint="eastAsia" w:ascii="仿宋" w:hAnsi="仿宋" w:eastAsia="仿宋" w:cs="仿宋"/>
          <w:sz w:val="32"/>
          <w:szCs w:val="32"/>
        </w:rPr>
        <w:t>二、学校以高水平运动员当年高考成绩优先为基本原则，结合考生志愿填报情况以及我校各体育项目建设发展的需求等进行综合评定，对符合我校录取要求的高水平运动员进行专业分配。</w:t>
      </w:r>
    </w:p>
    <w:p>
      <w:pPr>
        <w:spacing w:line="387" w:lineRule="auto"/>
        <w:ind w:firstLine="640"/>
        <w:jc w:val="both"/>
        <w:rPr>
          <w:rFonts w:ascii="仿宋" w:hAnsi="仿宋" w:eastAsia="仿宋" w:cs="仿宋"/>
          <w:sz w:val="32"/>
          <w:szCs w:val="32"/>
        </w:rPr>
      </w:pPr>
      <w:r>
        <w:rPr>
          <w:rFonts w:hint="eastAsia" w:ascii="仿宋" w:hAnsi="仿宋" w:eastAsia="仿宋" w:cs="仿宋"/>
          <w:sz w:val="32"/>
          <w:szCs w:val="32"/>
        </w:rPr>
        <w:t>三、专业分配办法：</w:t>
      </w:r>
    </w:p>
    <w:p>
      <w:pPr>
        <w:spacing w:line="387" w:lineRule="auto"/>
        <w:ind w:firstLine="640"/>
        <w:jc w:val="both"/>
        <w:rPr>
          <w:rFonts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lang w:eastAsia="zh-CN"/>
        </w:rPr>
        <w:t>参加当年</w:t>
      </w:r>
      <w:r>
        <w:rPr>
          <w:rFonts w:hint="eastAsia" w:ascii="仿宋" w:hAnsi="仿宋" w:eastAsia="仿宋" w:cs="仿宋"/>
          <w:sz w:val="32"/>
          <w:szCs w:val="32"/>
        </w:rPr>
        <w:t>普通高考</w:t>
      </w:r>
      <w:r>
        <w:rPr>
          <w:rFonts w:hint="eastAsia" w:ascii="仿宋" w:hAnsi="仿宋" w:eastAsia="仿宋" w:cs="仿宋"/>
          <w:sz w:val="32"/>
          <w:szCs w:val="32"/>
          <w:lang w:eastAsia="zh-CN"/>
        </w:rPr>
        <w:t>且</w:t>
      </w:r>
      <w:r>
        <w:rPr>
          <w:rFonts w:hint="eastAsia" w:ascii="仿宋" w:hAnsi="仿宋" w:eastAsia="仿宋" w:cs="仿宋"/>
          <w:sz w:val="32"/>
          <w:szCs w:val="32"/>
        </w:rPr>
        <w:t>成绩达考生所在省（自治区、直辖市）高水平运动员招生录取控制线（没有单独划定高水平运动员招生录取控制线的省份参照本省份的二本线或二段线）的高水平运动员考生，可按考生所属文理科类别，分配我校当年在该省（自治区、直辖市）招生的针灸推拿学、管理学门类专业（含公共事业管理、市场营销、信息管理与信息系统）、应用心理学、医学影像技术、护理学、康复治疗学等专业范围内分配专业。</w:t>
      </w:r>
    </w:p>
    <w:p>
      <w:pPr>
        <w:spacing w:line="369" w:lineRule="auto"/>
        <w:ind w:firstLine="640"/>
        <w:jc w:val="both"/>
        <w:rPr>
          <w:rFonts w:ascii="仿宋" w:hAnsi="仿宋" w:eastAsia="仿宋" w:cs="仿宋"/>
          <w:sz w:val="32"/>
          <w:szCs w:val="32"/>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参加</w:t>
      </w:r>
      <w:r>
        <w:rPr>
          <w:rFonts w:hint="eastAsia" w:ascii="仿宋" w:hAnsi="仿宋" w:eastAsia="仿宋" w:cs="仿宋"/>
          <w:sz w:val="32"/>
          <w:szCs w:val="32"/>
        </w:rPr>
        <w:t>当年普通高考</w:t>
      </w:r>
      <w:r>
        <w:rPr>
          <w:rFonts w:hint="eastAsia" w:ascii="仿宋" w:hAnsi="仿宋" w:eastAsia="仿宋" w:cs="仿宋"/>
          <w:sz w:val="32"/>
          <w:szCs w:val="32"/>
          <w:lang w:eastAsia="zh-CN"/>
        </w:rPr>
        <w:t>而</w:t>
      </w:r>
      <w:r>
        <w:rPr>
          <w:rFonts w:hint="eastAsia" w:ascii="仿宋" w:hAnsi="仿宋" w:eastAsia="仿宋" w:cs="仿宋"/>
          <w:sz w:val="32"/>
          <w:szCs w:val="32"/>
        </w:rPr>
        <w:t>成绩未达考生所在省（自治区、直辖市）高水平运动员招生录取控制线（没有单独划定高水平运动员招生录取控制线的省份参照本省份的二本线或二段线）但达80%的，按考生所属文理科类别，在我校当年在该省（自治区、直辖市）招生的管理学门类专业（含公共事业管理、市场营销、信息管理与信息系统）、应用心理学、医学影像技术、护理学、康复治疗学等专业范围内分配专业。</w:t>
      </w:r>
      <w:bookmarkStart w:id="0" w:name="_GoBack"/>
      <w:bookmarkEnd w:id="0"/>
    </w:p>
    <w:p>
      <w:pPr>
        <w:spacing w:line="369" w:lineRule="auto"/>
        <w:ind w:firstLine="640"/>
        <w:rPr>
          <w:rFonts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参加</w:t>
      </w:r>
      <w:r>
        <w:rPr>
          <w:rFonts w:hint="eastAsia" w:ascii="仿宋" w:hAnsi="仿宋" w:eastAsia="仿宋" w:cs="仿宋"/>
          <w:sz w:val="32"/>
          <w:szCs w:val="32"/>
        </w:rPr>
        <w:t>当年普通高考</w:t>
      </w:r>
      <w:r>
        <w:rPr>
          <w:rFonts w:hint="eastAsia" w:ascii="仿宋" w:hAnsi="仿宋" w:eastAsia="仿宋" w:cs="仿宋"/>
          <w:sz w:val="32"/>
          <w:szCs w:val="32"/>
          <w:lang w:eastAsia="zh-CN"/>
        </w:rPr>
        <w:t>而</w:t>
      </w:r>
      <w:r>
        <w:rPr>
          <w:rFonts w:hint="eastAsia" w:ascii="仿宋" w:hAnsi="仿宋" w:eastAsia="仿宋" w:cs="仿宋"/>
          <w:sz w:val="32"/>
          <w:szCs w:val="32"/>
        </w:rPr>
        <w:t>成绩未达考生所在省（自治区、直辖市）高水平运动员招生录取控制线（没有单独划定高水平运动员招生录取控制线的省份参照本省份的二本线或二段线）的80%的考生，按考生所属文理科类别在我校当年招生的管理学门类专业（含公共事业管理、市场营销、信息管理与信息系统）范围内分配专业。</w:t>
      </w:r>
    </w:p>
    <w:p>
      <w:pPr>
        <w:spacing w:line="369" w:lineRule="auto"/>
        <w:ind w:firstLine="640"/>
        <w:rPr>
          <w:rFonts w:ascii="仿宋" w:hAnsi="仿宋" w:eastAsia="仿宋" w:cs="仿宋_GB2312"/>
          <w:kern w:val="2"/>
          <w:sz w:val="32"/>
          <w:szCs w:val="32"/>
        </w:rPr>
      </w:pPr>
      <w:r>
        <w:rPr>
          <w:rFonts w:hint="eastAsia" w:ascii="仿宋" w:hAnsi="仿宋" w:eastAsia="仿宋" w:cs="仿宋"/>
          <w:sz w:val="32"/>
          <w:szCs w:val="32"/>
          <w:lang w:val="en-US" w:eastAsia="zh-CN"/>
        </w:rPr>
        <w:t>4.</w:t>
      </w:r>
      <w:r>
        <w:rPr>
          <w:rFonts w:hint="eastAsia" w:ascii="仿宋" w:hAnsi="仿宋" w:eastAsia="仿宋" w:cs="仿宋_GB2312"/>
          <w:color w:val="auto"/>
          <w:kern w:val="2"/>
          <w:sz w:val="32"/>
          <w:szCs w:val="32"/>
        </w:rPr>
        <w:t>参加国家体育总局统一组织的运动训练、武术与民族传统体育专业单独招生文化课考试方式</w:t>
      </w:r>
      <w:r>
        <w:rPr>
          <w:rFonts w:hint="eastAsia" w:ascii="仿宋" w:hAnsi="仿宋" w:eastAsia="仿宋" w:cs="仿宋_GB2312"/>
          <w:color w:val="auto"/>
          <w:kern w:val="2"/>
          <w:sz w:val="32"/>
          <w:szCs w:val="32"/>
          <w:lang w:eastAsia="zh-CN"/>
        </w:rPr>
        <w:t>且</w:t>
      </w:r>
      <w:r>
        <w:rPr>
          <w:rFonts w:hint="eastAsia" w:ascii="仿宋" w:hAnsi="仿宋" w:eastAsia="仿宋" w:cs="仿宋_GB2312"/>
          <w:color w:val="auto"/>
          <w:kern w:val="2"/>
          <w:sz w:val="32"/>
          <w:szCs w:val="32"/>
        </w:rPr>
        <w:t>录取的考生，按考生所属文理科类别在我校当年</w:t>
      </w:r>
      <w:r>
        <w:rPr>
          <w:rFonts w:hint="eastAsia" w:ascii="仿宋" w:hAnsi="仿宋" w:eastAsia="仿宋" w:cs="仿宋_GB2312"/>
          <w:kern w:val="2"/>
          <w:sz w:val="32"/>
          <w:szCs w:val="32"/>
        </w:rPr>
        <w:t>在该省（自治区、直辖市）招生的</w:t>
      </w:r>
      <w:r>
        <w:rPr>
          <w:rFonts w:hint="eastAsia" w:ascii="仿宋" w:hAnsi="仿宋" w:eastAsia="仿宋" w:cs="仿宋"/>
          <w:sz w:val="32"/>
          <w:szCs w:val="32"/>
        </w:rPr>
        <w:t>管理学门类专业（含公共事业管理、市场营销、信息管理与信息系统）、应用心理学、医学影像技术、护理学、康复治疗学等专业范围内分配专业。</w:t>
      </w:r>
    </w:p>
    <w:p>
      <w:pPr>
        <w:spacing w:line="351" w:lineRule="auto"/>
        <w:ind w:right="100" w:firstLine="640"/>
        <w:jc w:val="both"/>
        <w:rPr>
          <w:rFonts w:ascii="仿宋" w:hAnsi="仿宋" w:eastAsia="仿宋" w:cs="仿宋"/>
          <w:sz w:val="32"/>
          <w:szCs w:val="32"/>
        </w:rPr>
      </w:pPr>
      <w:r>
        <w:rPr>
          <w:rFonts w:hint="eastAsia" w:ascii="仿宋" w:hAnsi="仿宋" w:eastAsia="仿宋" w:cs="仿宋"/>
          <w:sz w:val="32"/>
          <w:szCs w:val="32"/>
        </w:rPr>
        <w:t>四、所有选报及分配的本科专业，录取要求与当年《广西中医药大学招生章程》相符。</w:t>
      </w:r>
    </w:p>
    <w:p>
      <w:pPr>
        <w:spacing w:line="351" w:lineRule="auto"/>
        <w:ind w:right="100" w:firstLine="640"/>
        <w:jc w:val="both"/>
        <w:rPr>
          <w:rFonts w:ascii="仿宋" w:hAnsi="仿宋" w:eastAsia="仿宋" w:cs="仿宋"/>
          <w:sz w:val="32"/>
          <w:szCs w:val="32"/>
        </w:rPr>
      </w:pPr>
      <w:r>
        <w:rPr>
          <w:rFonts w:hint="eastAsia" w:ascii="仿宋" w:hAnsi="仿宋" w:eastAsia="仿宋" w:cs="仿宋"/>
          <w:sz w:val="32"/>
          <w:szCs w:val="32"/>
        </w:rPr>
        <w:t>五、本规定自下文之日起施行。过去印发的有关规定，与此相矛盾的按本规定执行。</w:t>
      </w:r>
    </w:p>
    <w:sectPr>
      <w:headerReference r:id="rId3" w:type="default"/>
      <w:footerReference r:id="rId4" w:type="default"/>
      <w:pgSz w:w="11900" w:h="16840"/>
      <w:pgMar w:top="1440" w:right="2060" w:bottom="1440" w:left="1800" w:header="0" w:footer="0" w:gutter="0"/>
      <w:cols w:equalWidth="0" w:num="1">
        <w:col w:w="8040"/>
      </w:cols>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Calibri Light">
    <w:panose1 w:val="020F0302020204030204"/>
    <w:charset w:val="00"/>
    <w:family w:val="swiss"/>
    <w:pitch w:val="default"/>
    <w:sig w:usb0="A00002EF" w:usb1="4000207B" w:usb2="00000000"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snapToGrid w:val="0"/>
                      <w:rPr>
                        <w:rFonts w:hint="eastAsia" w:eastAsiaTheme="minorEastAsia"/>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rPr>
                        <w:sz w:val="18"/>
                      </w:rP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AD2512"/>
    <w:rsid w:val="000121D5"/>
    <w:rsid w:val="001C4B4B"/>
    <w:rsid w:val="00251A9C"/>
    <w:rsid w:val="003B5EDA"/>
    <w:rsid w:val="004D09D2"/>
    <w:rsid w:val="004D4698"/>
    <w:rsid w:val="0054765E"/>
    <w:rsid w:val="005A22A4"/>
    <w:rsid w:val="00624EF8"/>
    <w:rsid w:val="006974A8"/>
    <w:rsid w:val="00756232"/>
    <w:rsid w:val="007A1537"/>
    <w:rsid w:val="00970411"/>
    <w:rsid w:val="009C048E"/>
    <w:rsid w:val="009E395D"/>
    <w:rsid w:val="00AE573C"/>
    <w:rsid w:val="00B13FB1"/>
    <w:rsid w:val="00BF5A77"/>
    <w:rsid w:val="00C05E73"/>
    <w:rsid w:val="00C50E0F"/>
    <w:rsid w:val="00EC3FDF"/>
    <w:rsid w:val="00F51838"/>
    <w:rsid w:val="00F9672C"/>
    <w:rsid w:val="00FC02C2"/>
    <w:rsid w:val="090A5732"/>
    <w:rsid w:val="0E1D638C"/>
    <w:rsid w:val="12586CE0"/>
    <w:rsid w:val="17BF1D04"/>
    <w:rsid w:val="25D076C8"/>
    <w:rsid w:val="2A5B2C60"/>
    <w:rsid w:val="36E81ABD"/>
    <w:rsid w:val="3C3A2DDE"/>
    <w:rsid w:val="3EC07C53"/>
    <w:rsid w:val="4408723D"/>
    <w:rsid w:val="48AA335E"/>
    <w:rsid w:val="4AAD2512"/>
    <w:rsid w:val="4B8F2DE0"/>
    <w:rsid w:val="588C172E"/>
    <w:rsid w:val="5C3B7A87"/>
    <w:rsid w:val="6CD563A3"/>
    <w:rsid w:val="6ECF3C44"/>
    <w:rsid w:val="71365653"/>
    <w:rsid w:val="7AA81AF1"/>
    <w:rsid w:val="7F4D21CC"/>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sz w:val="21"/>
      <w:szCs w:val="22"/>
      <w:lang w:val="en-US" w:eastAsia="zh-CN" w:bidi="ar-SA"/>
    </w:rPr>
  </w:style>
  <w:style w:type="paragraph" w:styleId="2">
    <w:name w:val="heading 1"/>
    <w:basedOn w:val="1"/>
    <w:next w:val="1"/>
    <w:qFormat/>
    <w:uiPriority w:val="0"/>
    <w:pPr>
      <w:keepNext/>
      <w:keepLines/>
      <w:spacing w:line="576" w:lineRule="auto"/>
      <w:outlineLvl w:val="0"/>
    </w:pPr>
    <w:rPr>
      <w:b/>
      <w:kern w:val="44"/>
      <w:sz w:val="44"/>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footer"/>
    <w:basedOn w:val="1"/>
    <w:link w:val="9"/>
    <w:qFormat/>
    <w:uiPriority w:val="0"/>
    <w:pPr>
      <w:tabs>
        <w:tab w:val="center" w:pos="4153"/>
        <w:tab w:val="right" w:pos="8306"/>
      </w:tabs>
      <w:snapToGrid w:val="0"/>
    </w:pPr>
    <w:rPr>
      <w:sz w:val="18"/>
      <w:szCs w:val="18"/>
    </w:rPr>
  </w:style>
  <w:style w:type="paragraph" w:styleId="5">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6"/>
    <w:link w:val="5"/>
    <w:qFormat/>
    <w:uiPriority w:val="0"/>
    <w:rPr>
      <w:sz w:val="18"/>
      <w:szCs w:val="18"/>
    </w:rPr>
  </w:style>
  <w:style w:type="character" w:customStyle="1" w:styleId="9">
    <w:name w:val="页脚 Char"/>
    <w:basedOn w:val="6"/>
    <w:link w:val="4"/>
    <w:qFormat/>
    <w:uiPriority w:val="0"/>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AF3E3E-F0DA-4C72-84A5-819E7BAA963E}">
  <ds:schemaRefs/>
</ds:datastoreItem>
</file>

<file path=docProps/app.xml><?xml version="1.0" encoding="utf-8"?>
<Properties xmlns="http://schemas.openxmlformats.org/officeDocument/2006/extended-properties" xmlns:vt="http://schemas.openxmlformats.org/officeDocument/2006/docPropsVTypes">
  <Template>Normal.dotm</Template>
  <Pages>3</Pages>
  <Words>176</Words>
  <Characters>1009</Characters>
  <Lines>8</Lines>
  <Paragraphs>2</Paragraphs>
  <ScaleCrop>false</ScaleCrop>
  <LinksUpToDate>false</LinksUpToDate>
  <CharactersWithSpaces>1183</CharactersWithSpaces>
  <Application>WPS Office_10.1.0.6205_F1E327BC-269C-435d-A152-05C5408002CA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2017-12-12T08:48:00Z</dcterms:created>
  <dc:creator>010010</dc:creator>
  <cp:lastModifiedBy>zjc01</cp:lastModifiedBy>
  <cp:lastPrinted>2018-01-11T02:56:00Z</cp:lastPrinted>
  <dcterms:modified xsi:type="dcterms:W3CDTF">2018-01-19T07:50:17Z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2052-10.1.0.6205</vt:lpwstr>
  </property>
</Properties>
</file>